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40"/>
        <w:gridCol w:w="271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571"/>
        <w:gridCol w:w="371"/>
        <w:gridCol w:w="373"/>
        <w:gridCol w:w="375"/>
        <w:gridCol w:w="1603"/>
        <w:gridCol w:w="1451"/>
      </w:tblGrid>
      <w:tr w:rsidR="00341D4D" w:rsidRPr="00341D4D" w14:paraId="1DD7D2D0" w14:textId="77777777" w:rsidTr="00B9498B">
        <w:trPr>
          <w:trHeight w:val="727"/>
        </w:trPr>
        <w:tc>
          <w:tcPr>
            <w:tcW w:w="505" w:type="pct"/>
            <w:gridSpan w:val="2"/>
            <w:vMerge w:val="restart"/>
            <w:noWrap/>
            <w:vAlign w:val="bottom"/>
            <w:hideMark/>
          </w:tcPr>
          <w:p w14:paraId="5AF7E894" w14:textId="77777777" w:rsidR="00341D4D" w:rsidRPr="00341D4D" w:rsidRDefault="00341D4D" w:rsidP="0034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D4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258EFB62" wp14:editId="54CDE99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-930275</wp:posOffset>
                  </wp:positionV>
                  <wp:extent cx="819150" cy="800100"/>
                  <wp:effectExtent l="0" t="0" r="0" b="0"/>
                  <wp:wrapNone/>
                  <wp:docPr id="2" name="Picture 2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hlinkClick r:id="rId5"/>
                            <a:extLst>
                              <a:ext uri="{FF2B5EF4-FFF2-40B4-BE49-F238E27FC236}">
                                <a16:creationId xmlns:a16="http://schemas.microsoft.com/office/drawing/2014/main" id="{00000000-0008-0000-07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A24E8E" w14:textId="77777777" w:rsidR="00341D4D" w:rsidRPr="00341D4D" w:rsidRDefault="00341D4D" w:rsidP="0034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1" w:type="pct"/>
            <w:gridSpan w:val="20"/>
            <w:vMerge w:val="restart"/>
            <w:vAlign w:val="center"/>
            <w:hideMark/>
          </w:tcPr>
          <w:p w14:paraId="34AC80C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41D4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UNIVERSITAS DAYANU IKHSANUDDIN</w:t>
            </w:r>
          </w:p>
          <w:p w14:paraId="58D5B21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41D4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FAKULTAS ILMU SOSIAL DAN ILMU POLITIK</w:t>
            </w:r>
          </w:p>
          <w:p w14:paraId="191E7EC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41D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 STUDI ILMU ADMINISTRASI NEGARA</w:t>
            </w:r>
          </w:p>
        </w:tc>
        <w:tc>
          <w:tcPr>
            <w:tcW w:w="1114" w:type="pct"/>
            <w:gridSpan w:val="2"/>
            <w:vAlign w:val="center"/>
            <w:hideMark/>
          </w:tcPr>
          <w:p w14:paraId="41F2E21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hyperlink r:id="rId7" w:anchor="RANGE!_Hlk94845612" w:history="1">
              <w:proofErr w:type="spellStart"/>
              <w:r w:rsidRPr="00341D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Dokumen</w:t>
              </w:r>
              <w:proofErr w:type="spellEnd"/>
              <w:r w:rsidRPr="00341D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41D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Kurikulum</w:t>
              </w:r>
              <w:proofErr w:type="spellEnd"/>
              <w:r w:rsidRPr="00341D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:</w:t>
              </w:r>
            </w:hyperlink>
          </w:p>
        </w:tc>
      </w:tr>
      <w:tr w:rsidR="00341D4D" w:rsidRPr="00341D4D" w14:paraId="308CCC85" w14:textId="77777777" w:rsidTr="00B9498B">
        <w:trPr>
          <w:trHeight w:val="450"/>
        </w:trPr>
        <w:tc>
          <w:tcPr>
            <w:tcW w:w="505" w:type="pct"/>
            <w:gridSpan w:val="2"/>
            <w:vMerge/>
            <w:vAlign w:val="center"/>
            <w:hideMark/>
          </w:tcPr>
          <w:p w14:paraId="7BBF3C37" w14:textId="77777777" w:rsidR="00341D4D" w:rsidRPr="00341D4D" w:rsidRDefault="00341D4D" w:rsidP="0034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1" w:type="pct"/>
            <w:gridSpan w:val="20"/>
            <w:vMerge/>
            <w:vAlign w:val="center"/>
            <w:hideMark/>
          </w:tcPr>
          <w:p w14:paraId="7276153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Merge w:val="restart"/>
            <w:vAlign w:val="center"/>
            <w:hideMark/>
          </w:tcPr>
          <w:p w14:paraId="37180BE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1D4D">
              <w:rPr>
                <w:rFonts w:ascii="Arial" w:eastAsia="Times New Roman" w:hAnsi="Arial" w:cs="Arial"/>
                <w:sz w:val="20"/>
                <w:szCs w:val="20"/>
              </w:rPr>
              <w:t xml:space="preserve">https://dokumen OBE Program </w:t>
            </w:r>
            <w:proofErr w:type="spellStart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>studi</w:t>
            </w:r>
            <w:proofErr w:type="spellEnd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>Ilmu</w:t>
            </w:r>
            <w:proofErr w:type="spellEnd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>Administrasi</w:t>
            </w:r>
            <w:proofErr w:type="spellEnd"/>
            <w:r w:rsidRPr="00341D4D">
              <w:rPr>
                <w:rFonts w:ascii="Arial" w:eastAsia="Times New Roman" w:hAnsi="Arial" w:cs="Arial"/>
                <w:sz w:val="20"/>
                <w:szCs w:val="20"/>
              </w:rPr>
              <w:t xml:space="preserve"> Negara</w:t>
            </w:r>
          </w:p>
        </w:tc>
      </w:tr>
      <w:tr w:rsidR="00341D4D" w:rsidRPr="00341D4D" w14:paraId="21D3932D" w14:textId="77777777" w:rsidTr="00B9498B">
        <w:trPr>
          <w:trHeight w:val="708"/>
        </w:trPr>
        <w:tc>
          <w:tcPr>
            <w:tcW w:w="505" w:type="pct"/>
            <w:gridSpan w:val="2"/>
            <w:vMerge/>
            <w:vAlign w:val="center"/>
            <w:hideMark/>
          </w:tcPr>
          <w:p w14:paraId="248EE7FB" w14:textId="77777777" w:rsidR="00341D4D" w:rsidRPr="00341D4D" w:rsidRDefault="00341D4D" w:rsidP="0034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1" w:type="pct"/>
            <w:gridSpan w:val="20"/>
            <w:vAlign w:val="center"/>
            <w:hideMark/>
          </w:tcPr>
          <w:p w14:paraId="19663D9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Jalan Sultan </w:t>
            </w:r>
            <w:proofErr w:type="spellStart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Dayanu</w:t>
            </w:r>
            <w:proofErr w:type="spellEnd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Ikhsanuddin</w:t>
            </w:r>
            <w:proofErr w:type="spellEnd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No. 124 </w:t>
            </w:r>
            <w:proofErr w:type="spellStart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Baubau</w:t>
            </w:r>
            <w:proofErr w:type="spellEnd"/>
            <w:r w:rsidRPr="00341D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93721</w:t>
            </w:r>
          </w:p>
          <w:p w14:paraId="025650B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1D4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Website: </w:t>
            </w:r>
            <w:proofErr w:type="gramStart"/>
            <w:r w:rsidRPr="00341D4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fisip.unidayan.ac.id;  e-mail</w:t>
            </w:r>
            <w:proofErr w:type="gramEnd"/>
            <w:r w:rsidRPr="00341D4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administrasi.negara@unidayan.ac.id</w:t>
            </w:r>
          </w:p>
        </w:tc>
        <w:tc>
          <w:tcPr>
            <w:tcW w:w="1114" w:type="pct"/>
            <w:gridSpan w:val="2"/>
            <w:vMerge/>
            <w:vAlign w:val="center"/>
            <w:hideMark/>
          </w:tcPr>
          <w:p w14:paraId="4462EAB9" w14:textId="77777777" w:rsidR="00341D4D" w:rsidRPr="00341D4D" w:rsidRDefault="00341D4D" w:rsidP="00341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1D4D" w:rsidRPr="00341D4D" w14:paraId="48849053" w14:textId="77777777" w:rsidTr="00341D4D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4CC1F94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  <w:t>RENCANA PEMBELAJARAN SEMESTER (RPS)</w:t>
            </w:r>
          </w:p>
        </w:tc>
      </w:tr>
      <w:tr w:rsidR="00341D4D" w:rsidRPr="00341D4D" w14:paraId="6661D795" w14:textId="77777777" w:rsidTr="00B9498B">
        <w:trPr>
          <w:trHeight w:val="458"/>
        </w:trPr>
        <w:tc>
          <w:tcPr>
            <w:tcW w:w="1684" w:type="pct"/>
            <w:gridSpan w:val="10"/>
            <w:vAlign w:val="center"/>
            <w:hideMark/>
          </w:tcPr>
          <w:p w14:paraId="20A1AC3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MATA KULIAH (MK)</w:t>
            </w:r>
          </w:p>
        </w:tc>
        <w:tc>
          <w:tcPr>
            <w:tcW w:w="616" w:type="pct"/>
            <w:gridSpan w:val="4"/>
            <w:vAlign w:val="center"/>
            <w:hideMark/>
          </w:tcPr>
          <w:p w14:paraId="7557F78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616" w:type="pct"/>
            <w:gridSpan w:val="4"/>
            <w:vAlign w:val="center"/>
            <w:hideMark/>
          </w:tcPr>
          <w:p w14:paraId="4ABF7EB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Rumpun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MK</w:t>
            </w:r>
          </w:p>
        </w:tc>
        <w:tc>
          <w:tcPr>
            <w:tcW w:w="569" w:type="pct"/>
            <w:vAlign w:val="center"/>
            <w:hideMark/>
          </w:tcPr>
          <w:p w14:paraId="2F6DCED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 (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sks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2" w:type="pct"/>
            <w:gridSpan w:val="3"/>
            <w:vAlign w:val="center"/>
            <w:hideMark/>
          </w:tcPr>
          <w:p w14:paraId="22A4A7B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114" w:type="pct"/>
            <w:gridSpan w:val="2"/>
            <w:vAlign w:val="center"/>
            <w:hideMark/>
          </w:tcPr>
          <w:p w14:paraId="21C38F6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Tgl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Penyusunan</w:t>
            </w:r>
            <w:proofErr w:type="spellEnd"/>
          </w:p>
        </w:tc>
      </w:tr>
      <w:tr w:rsidR="00341D4D" w:rsidRPr="00341D4D" w14:paraId="4671C26A" w14:textId="77777777" w:rsidTr="00B9498B">
        <w:trPr>
          <w:trHeight w:val="458"/>
        </w:trPr>
        <w:tc>
          <w:tcPr>
            <w:tcW w:w="1684" w:type="pct"/>
            <w:gridSpan w:val="10"/>
            <w:vAlign w:val="center"/>
            <w:hideMark/>
          </w:tcPr>
          <w:p w14:paraId="5298558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Publik</w:t>
            </w:r>
          </w:p>
        </w:tc>
        <w:tc>
          <w:tcPr>
            <w:tcW w:w="616" w:type="pct"/>
            <w:gridSpan w:val="4"/>
            <w:vAlign w:val="center"/>
            <w:hideMark/>
          </w:tcPr>
          <w:p w14:paraId="39170E0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22MKP11AP25</w:t>
            </w:r>
          </w:p>
        </w:tc>
        <w:tc>
          <w:tcPr>
            <w:tcW w:w="616" w:type="pct"/>
            <w:gridSpan w:val="4"/>
            <w:vAlign w:val="center"/>
            <w:hideMark/>
          </w:tcPr>
          <w:p w14:paraId="44826D3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Inti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Keilmuan</w:t>
            </w:r>
            <w:proofErr w:type="spellEnd"/>
          </w:p>
        </w:tc>
        <w:tc>
          <w:tcPr>
            <w:tcW w:w="569" w:type="pct"/>
            <w:vAlign w:val="center"/>
            <w:hideMark/>
          </w:tcPr>
          <w:p w14:paraId="5AA50A8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 = </w:t>
            </w:r>
            <w:proofErr w:type="gram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3,  P</w:t>
            </w:r>
            <w:proofErr w:type="gram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/S= 0</w:t>
            </w:r>
          </w:p>
        </w:tc>
        <w:tc>
          <w:tcPr>
            <w:tcW w:w="402" w:type="pct"/>
            <w:gridSpan w:val="3"/>
            <w:vAlign w:val="center"/>
            <w:hideMark/>
          </w:tcPr>
          <w:p w14:paraId="0890FF2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14" w:type="pct"/>
            <w:gridSpan w:val="2"/>
            <w:vAlign w:val="center"/>
            <w:hideMark/>
          </w:tcPr>
          <w:p w14:paraId="3D998AE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Agustus 2024</w:t>
            </w:r>
          </w:p>
        </w:tc>
      </w:tr>
      <w:tr w:rsidR="00341D4D" w:rsidRPr="00341D4D" w14:paraId="362FA47F" w14:textId="77777777" w:rsidTr="00B9498B">
        <w:trPr>
          <w:trHeight w:val="458"/>
        </w:trPr>
        <w:tc>
          <w:tcPr>
            <w:tcW w:w="1684" w:type="pct"/>
            <w:gridSpan w:val="10"/>
            <w:vMerge w:val="restart"/>
            <w:vAlign w:val="center"/>
            <w:hideMark/>
          </w:tcPr>
          <w:p w14:paraId="153C2CD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OTORISASI</w:t>
            </w:r>
          </w:p>
        </w:tc>
        <w:tc>
          <w:tcPr>
            <w:tcW w:w="1077" w:type="pct"/>
            <w:gridSpan w:val="7"/>
            <w:vAlign w:val="center"/>
            <w:hideMark/>
          </w:tcPr>
          <w:p w14:paraId="4090B66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Pengembang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RPS</w:t>
            </w:r>
          </w:p>
        </w:tc>
        <w:tc>
          <w:tcPr>
            <w:tcW w:w="990" w:type="pct"/>
            <w:gridSpan w:val="4"/>
            <w:vAlign w:val="center"/>
            <w:hideMark/>
          </w:tcPr>
          <w:p w14:paraId="0AB365A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Koordinator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RMK</w:t>
            </w:r>
          </w:p>
        </w:tc>
        <w:tc>
          <w:tcPr>
            <w:tcW w:w="1249" w:type="pct"/>
            <w:gridSpan w:val="3"/>
            <w:vAlign w:val="center"/>
            <w:hideMark/>
          </w:tcPr>
          <w:p w14:paraId="1F4F099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Ketua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Program Studi</w:t>
            </w:r>
          </w:p>
        </w:tc>
      </w:tr>
      <w:tr w:rsidR="00341D4D" w:rsidRPr="00341D4D" w14:paraId="6C5245C1" w14:textId="77777777" w:rsidTr="00B9498B">
        <w:trPr>
          <w:trHeight w:val="458"/>
        </w:trPr>
        <w:tc>
          <w:tcPr>
            <w:tcW w:w="1684" w:type="pct"/>
            <w:gridSpan w:val="10"/>
            <w:vMerge/>
            <w:vAlign w:val="center"/>
            <w:hideMark/>
          </w:tcPr>
          <w:p w14:paraId="5CC6704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gridSpan w:val="7"/>
            <w:vMerge w:val="restart"/>
            <w:vAlign w:val="bottom"/>
            <w:hideMark/>
          </w:tcPr>
          <w:p w14:paraId="43CE535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Dr. Rahmawati,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., MPA.</w:t>
            </w:r>
          </w:p>
        </w:tc>
        <w:tc>
          <w:tcPr>
            <w:tcW w:w="990" w:type="pct"/>
            <w:gridSpan w:val="4"/>
            <w:vMerge w:val="restart"/>
            <w:vAlign w:val="bottom"/>
            <w:hideMark/>
          </w:tcPr>
          <w:p w14:paraId="5D5F507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Dr. Rahmawati,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., MPA.</w:t>
            </w:r>
          </w:p>
        </w:tc>
        <w:tc>
          <w:tcPr>
            <w:tcW w:w="1249" w:type="pct"/>
            <w:gridSpan w:val="3"/>
            <w:vMerge w:val="restart"/>
            <w:vAlign w:val="bottom"/>
            <w:hideMark/>
          </w:tcPr>
          <w:p w14:paraId="2C9F0A1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Ode Arsyiah,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341D4D" w:rsidRPr="00341D4D" w14:paraId="69AE0BD6" w14:textId="77777777" w:rsidTr="00B9498B">
        <w:trPr>
          <w:trHeight w:val="555"/>
        </w:trPr>
        <w:tc>
          <w:tcPr>
            <w:tcW w:w="1684" w:type="pct"/>
            <w:gridSpan w:val="10"/>
            <w:vMerge/>
            <w:vAlign w:val="center"/>
            <w:hideMark/>
          </w:tcPr>
          <w:p w14:paraId="2B4AE89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gridSpan w:val="7"/>
            <w:vMerge/>
            <w:vAlign w:val="center"/>
            <w:hideMark/>
          </w:tcPr>
          <w:p w14:paraId="73C8A21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pct"/>
            <w:gridSpan w:val="4"/>
            <w:vMerge/>
            <w:vAlign w:val="center"/>
            <w:hideMark/>
          </w:tcPr>
          <w:p w14:paraId="72FE6A7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gridSpan w:val="3"/>
            <w:vMerge/>
            <w:vAlign w:val="center"/>
            <w:hideMark/>
          </w:tcPr>
          <w:p w14:paraId="254881F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341D4D" w:rsidRPr="00341D4D" w14:paraId="62D46C6C" w14:textId="77777777" w:rsidTr="00B9498B">
        <w:trPr>
          <w:trHeight w:val="255"/>
        </w:trPr>
        <w:tc>
          <w:tcPr>
            <w:tcW w:w="1684" w:type="pct"/>
            <w:gridSpan w:val="10"/>
            <w:vMerge/>
            <w:vAlign w:val="center"/>
            <w:hideMark/>
          </w:tcPr>
          <w:p w14:paraId="5508F24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gridSpan w:val="7"/>
            <w:vAlign w:val="bottom"/>
            <w:hideMark/>
          </w:tcPr>
          <w:p w14:paraId="53443A7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0917127404</w:t>
            </w:r>
          </w:p>
        </w:tc>
        <w:tc>
          <w:tcPr>
            <w:tcW w:w="990" w:type="pct"/>
            <w:gridSpan w:val="4"/>
            <w:vAlign w:val="bottom"/>
            <w:hideMark/>
          </w:tcPr>
          <w:p w14:paraId="7B84579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0917127404</w:t>
            </w:r>
          </w:p>
        </w:tc>
        <w:tc>
          <w:tcPr>
            <w:tcW w:w="1249" w:type="pct"/>
            <w:gridSpan w:val="3"/>
            <w:vAlign w:val="bottom"/>
            <w:hideMark/>
          </w:tcPr>
          <w:p w14:paraId="1F217D6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NPP.178 31 282</w:t>
            </w:r>
          </w:p>
        </w:tc>
      </w:tr>
      <w:tr w:rsidR="00341D4D" w:rsidRPr="00341D4D" w14:paraId="722A49E8" w14:textId="77777777" w:rsidTr="00341D4D">
        <w:trPr>
          <w:trHeight w:val="375"/>
        </w:trPr>
        <w:tc>
          <w:tcPr>
            <w:tcW w:w="163" w:type="pct"/>
            <w:vMerge w:val="restart"/>
            <w:textDirection w:val="btLr"/>
            <w:vAlign w:val="center"/>
            <w:hideMark/>
          </w:tcPr>
          <w:p w14:paraId="0A50582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(CP)</w:t>
            </w:r>
          </w:p>
        </w:tc>
        <w:tc>
          <w:tcPr>
            <w:tcW w:w="4837" w:type="pct"/>
            <w:gridSpan w:val="23"/>
            <w:shd w:val="clear" w:color="000000" w:fill="BFBFBF"/>
            <w:vAlign w:val="center"/>
            <w:hideMark/>
          </w:tcPr>
          <w:p w14:paraId="4753BA9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Pogram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studi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 yang</w:t>
            </w:r>
            <w:proofErr w:type="gram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dibebankan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pada Mata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341D4D" w:rsidRPr="00341D4D" w14:paraId="5440448F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5B6250A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65BDDF6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CPL2</w:t>
            </w:r>
          </w:p>
        </w:tc>
        <w:tc>
          <w:tcPr>
            <w:tcW w:w="100" w:type="pct"/>
            <w:hideMark/>
          </w:tcPr>
          <w:p w14:paraId="402F609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749A086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Menjunjung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tinggi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nilai-nilai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kemanusiaan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menjalankan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tugas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agama, moral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etika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341D4D" w:rsidRPr="00341D4D" w14:paraId="14DB69AA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4092FB3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61BB471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CPL3</w:t>
            </w:r>
          </w:p>
        </w:tc>
        <w:tc>
          <w:tcPr>
            <w:tcW w:w="100" w:type="pct"/>
            <w:hideMark/>
          </w:tcPr>
          <w:p w14:paraId="68A3115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52DD74E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beragam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terbaru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contoh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aplikasinya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2)</w:t>
            </w:r>
          </w:p>
        </w:tc>
      </w:tr>
      <w:tr w:rsidR="00341D4D" w:rsidRPr="00341D4D" w14:paraId="7FB2D280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40714FC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560DBDB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CPL4</w:t>
            </w:r>
          </w:p>
        </w:tc>
        <w:tc>
          <w:tcPr>
            <w:tcW w:w="100" w:type="pct"/>
            <w:hideMark/>
          </w:tcPr>
          <w:p w14:paraId="6834C39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4B40601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beragam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alat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2, PL 3)</w:t>
            </w:r>
          </w:p>
        </w:tc>
      </w:tr>
      <w:tr w:rsidR="00341D4D" w:rsidRPr="00341D4D" w14:paraId="63D2107C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A4286A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35340B1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CPL5</w:t>
            </w:r>
          </w:p>
        </w:tc>
        <w:tc>
          <w:tcPr>
            <w:tcW w:w="100" w:type="pct"/>
            <w:hideMark/>
          </w:tcPr>
          <w:p w14:paraId="289A05B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7DAE6B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ruang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lingkup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kompleksitas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tertentu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3)</w:t>
            </w:r>
          </w:p>
        </w:tc>
      </w:tr>
      <w:tr w:rsidR="00341D4D" w:rsidRPr="00341D4D" w14:paraId="19099ACB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CCF579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0960F17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CPL6</w:t>
            </w:r>
          </w:p>
        </w:tc>
        <w:tc>
          <w:tcPr>
            <w:tcW w:w="100" w:type="pct"/>
            <w:hideMark/>
          </w:tcPr>
          <w:p w14:paraId="671C040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8D330F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Sumber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Daya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Manusia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(SDM)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sektor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keuangan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kepemimpinan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keputusan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341D4D" w:rsidRPr="00341D4D" w14:paraId="1EFD6667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2084204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07D74F6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CPL8</w:t>
            </w:r>
          </w:p>
        </w:tc>
        <w:tc>
          <w:tcPr>
            <w:tcW w:w="100" w:type="pct"/>
            <w:hideMark/>
          </w:tcPr>
          <w:p w14:paraId="6A0D4BA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1B1C127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pelayanan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daerah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digital (PL 3, PL 4)</w:t>
            </w:r>
          </w:p>
        </w:tc>
      </w:tr>
      <w:tr w:rsidR="00341D4D" w:rsidRPr="00341D4D" w14:paraId="5627F4FF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7A4E4AF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289EE5D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CPL9</w:t>
            </w:r>
          </w:p>
        </w:tc>
        <w:tc>
          <w:tcPr>
            <w:tcW w:w="100" w:type="pct"/>
            <w:hideMark/>
          </w:tcPr>
          <w:p w14:paraId="72E4F3C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5468DE6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mengorganisasikan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kegiatan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pelayanan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swasta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nirlaba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atau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badan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usaha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memenuhi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berintegritas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2, PL 3, PL 4)</w:t>
            </w:r>
          </w:p>
        </w:tc>
      </w:tr>
      <w:tr w:rsidR="00341D4D" w:rsidRPr="00341D4D" w14:paraId="43A512A6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55EEB89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7" w:type="pct"/>
            <w:gridSpan w:val="23"/>
            <w:shd w:val="clear" w:color="000000" w:fill="BFBFBF"/>
            <w:vAlign w:val="center"/>
            <w:hideMark/>
          </w:tcPr>
          <w:p w14:paraId="422C96E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(CPMK)</w:t>
            </w:r>
          </w:p>
        </w:tc>
      </w:tr>
      <w:tr w:rsidR="00341D4D" w:rsidRPr="00341D4D" w14:paraId="7797A820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2EC94D2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7BA1019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1</w:t>
            </w:r>
          </w:p>
        </w:tc>
        <w:tc>
          <w:tcPr>
            <w:tcW w:w="100" w:type="pct"/>
            <w:hideMark/>
          </w:tcPr>
          <w:p w14:paraId="6AC701C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6F9D10B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ruang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lingkup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desain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69A1967F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1019DDD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4B616C6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2</w:t>
            </w:r>
          </w:p>
        </w:tc>
        <w:tc>
          <w:tcPr>
            <w:tcW w:w="100" w:type="pct"/>
            <w:hideMark/>
          </w:tcPr>
          <w:p w14:paraId="7389AF8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042063C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desain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(strategi, program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proyek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:rsidR="00341D4D" w:rsidRPr="00341D4D" w14:paraId="21B33D7E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77177CF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5B22397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3</w:t>
            </w:r>
          </w:p>
        </w:tc>
        <w:tc>
          <w:tcPr>
            <w:tcW w:w="100" w:type="pct"/>
            <w:hideMark/>
          </w:tcPr>
          <w:p w14:paraId="4B028DE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C0B89D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1D91DF23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744ADC7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7" w:type="pct"/>
            <w:gridSpan w:val="23"/>
            <w:shd w:val="clear" w:color="000000" w:fill="A6A6A6"/>
            <w:vAlign w:val="center"/>
            <w:hideMark/>
          </w:tcPr>
          <w:p w14:paraId="76F7DAC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akhir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(Sub-CPMK)</w:t>
            </w:r>
          </w:p>
        </w:tc>
      </w:tr>
      <w:tr w:rsidR="00341D4D" w:rsidRPr="00341D4D" w14:paraId="4FA3C21C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02A148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6961B46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100" w:type="pct"/>
            <w:hideMark/>
          </w:tcPr>
          <w:p w14:paraId="645323A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648B50B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proses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persyaratan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penilaian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mahasiswa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permasalahan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sebagai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341D4D" w:rsidRPr="00341D4D" w14:paraId="5F7F21FA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585A994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26B6B18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100" w:type="pct"/>
            <w:hideMark/>
          </w:tcPr>
          <w:p w14:paraId="49C54A2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0B9B5C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membedakan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harus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00EFB232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2B4764B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6CF0763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100" w:type="pct"/>
            <w:hideMark/>
          </w:tcPr>
          <w:p w14:paraId="5FF4B1E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4959466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13ED3835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693DF8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71F36D8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100" w:type="pct"/>
            <w:hideMark/>
          </w:tcPr>
          <w:p w14:paraId="22BDA27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600DFE9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6D2BED90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E92101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147F023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100" w:type="pct"/>
            <w:hideMark/>
          </w:tcPr>
          <w:p w14:paraId="6785C27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11831792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</w:p>
        </w:tc>
      </w:tr>
      <w:tr w:rsidR="00341D4D" w:rsidRPr="00341D4D" w14:paraId="2842D6A4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4945AFF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117D4E5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100" w:type="pct"/>
            <w:hideMark/>
          </w:tcPr>
          <w:p w14:paraId="0F33E3E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54BB15D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</w:tc>
      </w:tr>
      <w:tr w:rsidR="00341D4D" w:rsidRPr="00341D4D" w14:paraId="6F2BC9D1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2731281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23DCFF3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100" w:type="pct"/>
            <w:hideMark/>
          </w:tcPr>
          <w:p w14:paraId="70386FB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4021E3C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</w:tc>
      </w:tr>
      <w:tr w:rsidR="00341D4D" w:rsidRPr="00341D4D" w14:paraId="0ED8F54E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7DEA3B2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1DED2F0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100" w:type="pct"/>
            <w:hideMark/>
          </w:tcPr>
          <w:p w14:paraId="2F32C96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4A648F4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</w:tr>
      <w:tr w:rsidR="00341D4D" w:rsidRPr="00341D4D" w14:paraId="79FA02FA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34475D6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30D6BE0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100" w:type="pct"/>
            <w:hideMark/>
          </w:tcPr>
          <w:p w14:paraId="3945510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341AF9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</w:tr>
      <w:tr w:rsidR="00341D4D" w:rsidRPr="00341D4D" w14:paraId="7F124B5F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075129D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4FBE915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100" w:type="pct"/>
            <w:hideMark/>
          </w:tcPr>
          <w:p w14:paraId="5CDAA2F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4AAA372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setiap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4323C6DC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7BE27FE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3B51E5F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100" w:type="pct"/>
            <w:hideMark/>
          </w:tcPr>
          <w:p w14:paraId="4FF0D46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6510734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setiap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39C7B260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4E90ABC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1F19F00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100" w:type="pct"/>
            <w:hideMark/>
          </w:tcPr>
          <w:p w14:paraId="411AA32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35F2AC4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110A7BF6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3D12E88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196EC90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100" w:type="pct"/>
            <w:hideMark/>
          </w:tcPr>
          <w:p w14:paraId="4A23BAE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57C73A0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480DCF71" w14:textId="77777777" w:rsidTr="00B9498B">
        <w:trPr>
          <w:trHeight w:val="499"/>
        </w:trPr>
        <w:tc>
          <w:tcPr>
            <w:tcW w:w="163" w:type="pct"/>
            <w:vMerge/>
            <w:vAlign w:val="center"/>
            <w:hideMark/>
          </w:tcPr>
          <w:p w14:paraId="5A42362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hideMark/>
          </w:tcPr>
          <w:p w14:paraId="392543D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100" w:type="pct"/>
            <w:hideMark/>
          </w:tcPr>
          <w:p w14:paraId="65A7C99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pct"/>
            <w:gridSpan w:val="21"/>
            <w:hideMark/>
          </w:tcPr>
          <w:p w14:paraId="70ECD0A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15F3B029" w14:textId="77777777" w:rsidTr="00341D4D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54DBF93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Korelasi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terhadap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Sub-CPMK</w:t>
            </w:r>
          </w:p>
        </w:tc>
      </w:tr>
      <w:tr w:rsidR="00341D4D" w:rsidRPr="00341D4D" w14:paraId="010CC86E" w14:textId="77777777" w:rsidTr="00B9498B">
        <w:trPr>
          <w:trHeight w:val="930"/>
        </w:trPr>
        <w:tc>
          <w:tcPr>
            <w:tcW w:w="606" w:type="pct"/>
            <w:gridSpan w:val="3"/>
            <w:shd w:val="clear" w:color="000000" w:fill="F2F2F2"/>
            <w:vAlign w:val="center"/>
            <w:hideMark/>
          </w:tcPr>
          <w:p w14:paraId="40B9C2D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173FFC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A27668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64962E7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CPL2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7080DBF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CPL3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1A82E1E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CPL4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2A203E1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CPL6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31FAF1E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CPL8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031E832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CPL9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449977E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4E98EC5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5BAFFB9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09544B0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01CEACE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70CBC23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53E720A2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64DBD77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shd w:val="clear" w:color="000000" w:fill="F2F2F2"/>
            <w:textDirection w:val="btLr"/>
            <w:vAlign w:val="center"/>
            <w:hideMark/>
          </w:tcPr>
          <w:p w14:paraId="60E5F0A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702" w:type="pct"/>
            <w:gridSpan w:val="2"/>
            <w:shd w:val="clear" w:color="000000" w:fill="F2F2F2"/>
            <w:vAlign w:val="center"/>
            <w:hideMark/>
          </w:tcPr>
          <w:p w14:paraId="704E439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Bobot</w:t>
            </w:r>
            <w:proofErr w:type="spellEnd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857" w:type="pct"/>
            <w:gridSpan w:val="3"/>
            <w:shd w:val="clear" w:color="000000" w:fill="F2F2F2"/>
            <w:vAlign w:val="center"/>
            <w:hideMark/>
          </w:tcPr>
          <w:p w14:paraId="058484B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Jumllah</w:t>
            </w:r>
            <w:proofErr w:type="spellEnd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526" w:type="pct"/>
            <w:vMerge w:val="restart"/>
            <w:vAlign w:val="center"/>
            <w:hideMark/>
          </w:tcPr>
          <w:p w14:paraId="47E3966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</w:tr>
      <w:tr w:rsidR="00341D4D" w:rsidRPr="00341D4D" w14:paraId="2198EACE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6271D87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154" w:type="pct"/>
            <w:vAlign w:val="center"/>
            <w:hideMark/>
          </w:tcPr>
          <w:p w14:paraId="448AF38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1AE39B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3EA1FD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7D4519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74A3F6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66F4BC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6BBDB3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3FD52AA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FD28E4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BA82CE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DD06DB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00DFBC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3816D6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74E7C9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90E1F4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1DD35EC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50E8E78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1206954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589F4726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0274B4E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154" w:type="pct"/>
            <w:vAlign w:val="center"/>
            <w:hideMark/>
          </w:tcPr>
          <w:p w14:paraId="524CFA7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6E31FE2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EEF005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1EE01F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2CE6F8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649A094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0462DB3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5F80681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C26A43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1765B4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49853F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2DAD64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05BDCB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F2FB17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03B84A0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4FFB89B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7FDEEF4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268F0AD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2CE81233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7179585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154" w:type="pct"/>
            <w:vAlign w:val="center"/>
            <w:hideMark/>
          </w:tcPr>
          <w:p w14:paraId="573FE6A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97FE8F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B19E95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C1A31C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3F4AAC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6C49A94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60F0001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723FDFB2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775A71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798589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A8BE2B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38546F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B01672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FDFE83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BDC48A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3CDC94E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754A028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33505C0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6720C9BE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5E0F003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154" w:type="pct"/>
            <w:vAlign w:val="center"/>
            <w:hideMark/>
          </w:tcPr>
          <w:p w14:paraId="00877DE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68F66E9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50FDAF5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F3C4DA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77D0B7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532CB1D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74B02D8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25CF370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97F278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E1BC53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A6A067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087704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6EC2F1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DD7352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41F3B6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6D36288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51BE45C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0B87785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0FE1FB8B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6FE86EF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154" w:type="pct"/>
            <w:vAlign w:val="center"/>
            <w:hideMark/>
          </w:tcPr>
          <w:p w14:paraId="42F4E32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7BA18D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958D91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08DE68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0ED2B83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44F10B2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6E4527A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6E0F787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28CCFE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F11DCE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B54D5B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0097F67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0D63DF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61422A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D82DBA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403268B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68E831C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2EC9D44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1F032184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6B7BC31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154" w:type="pct"/>
            <w:vAlign w:val="center"/>
            <w:hideMark/>
          </w:tcPr>
          <w:p w14:paraId="05F8EB2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9630DA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810175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C5B28C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0378C5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E10CF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35F8746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7955A4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7B4E94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26604F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ED925B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B898B5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6B4687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2189CD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5457E0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6600CCE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47C1852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661DC45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51297897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562996D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154" w:type="pct"/>
            <w:vAlign w:val="center"/>
            <w:hideMark/>
          </w:tcPr>
          <w:p w14:paraId="148CF12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E0B40D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10C3B81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F79727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129169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1054BD7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DF5DF9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7C907242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C7C413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5DEC2E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DE815A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B93533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DEBB9D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744958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D28B5D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2DD46DC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4984CE2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06E66E7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545E2C94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3F04282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154" w:type="pct"/>
            <w:vAlign w:val="center"/>
            <w:hideMark/>
          </w:tcPr>
          <w:p w14:paraId="1D84235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14CF15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FD4431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D1DCBB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7B1C7AC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E9EFBB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042C343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2EDCD2F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89525A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CD2DAD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0022ACD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D4DB78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986A6D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DBA499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EA5D90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6B83E42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3DD429F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0F5BEB4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07032B92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3BE11A8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154" w:type="pct"/>
            <w:vAlign w:val="center"/>
            <w:hideMark/>
          </w:tcPr>
          <w:p w14:paraId="45C3BB6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0F9631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A5C43A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09D0C2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63E8247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BCC8D9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51611DA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5BB0E7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426EF0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4ACCCC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43934C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1AA968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85C8F0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1E7FA5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B7C1D5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737F94B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0078E3B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38C5601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5CA0FA20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1FAB323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154" w:type="pct"/>
            <w:vAlign w:val="center"/>
            <w:hideMark/>
          </w:tcPr>
          <w:p w14:paraId="05B342D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9176B5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227F09B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EA52C3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19D24C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4998D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31D9876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012CB1C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AAC984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A59A63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C4B797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67ECF3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9DFA7A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42E85A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7C96FE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05D6681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0D6390A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3FAFF6E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08F50D59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26A88C8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154" w:type="pct"/>
            <w:vAlign w:val="center"/>
            <w:hideMark/>
          </w:tcPr>
          <w:p w14:paraId="2B239D9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10606F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EA591E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10DB1E8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12F62E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51F14E4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3154829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2218B7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BEFC36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826F25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92CFEB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E34113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E852BF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5F3A8E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FA34C0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76A9A06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647AADA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51641E8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4B0F2E6B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3C0DC80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154" w:type="pct"/>
            <w:vAlign w:val="center"/>
            <w:hideMark/>
          </w:tcPr>
          <w:p w14:paraId="77C087D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02748C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6E1EAFE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2A4F666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318082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0BFCD93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7E25FD2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26DA9C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416B3E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60137E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7CA8A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033650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7EB76A6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D7AA9F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5D6745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4F3B109D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27F9486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215B6A7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07C1EC1F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20748FA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154" w:type="pct"/>
            <w:vAlign w:val="center"/>
            <w:hideMark/>
          </w:tcPr>
          <w:p w14:paraId="32B77F7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44A0C50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66B27E9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68B069A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52D15DD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4508FF5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053822A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5595C15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D27500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8359DB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BF1584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4D4052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4D6FBA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680A53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04DD76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354DC11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02F5896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20A57D3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317F5DE8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358C27C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154" w:type="pct"/>
            <w:vAlign w:val="center"/>
            <w:hideMark/>
          </w:tcPr>
          <w:p w14:paraId="5CDE877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0006E7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0B9BDEC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75BEF7B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" w:type="pct"/>
            <w:vAlign w:val="center"/>
            <w:hideMark/>
          </w:tcPr>
          <w:p w14:paraId="3A32563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vAlign w:val="center"/>
            <w:hideMark/>
          </w:tcPr>
          <w:p w14:paraId="382245E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5E1C66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textDirection w:val="btLr"/>
            <w:vAlign w:val="center"/>
            <w:hideMark/>
          </w:tcPr>
          <w:p w14:paraId="118447F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AC88DB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AF182E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3E38384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0DD2E90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6F41D1E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B1FA05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757978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165BFE8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6240C35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69926D7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14D71403" w14:textId="77777777" w:rsidTr="00B9498B">
        <w:trPr>
          <w:trHeight w:val="315"/>
        </w:trPr>
        <w:tc>
          <w:tcPr>
            <w:tcW w:w="606" w:type="pct"/>
            <w:gridSpan w:val="3"/>
            <w:vAlign w:val="center"/>
            <w:hideMark/>
          </w:tcPr>
          <w:p w14:paraId="7E424CA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Jumlah</w:t>
            </w:r>
            <w:proofErr w:type="spellEnd"/>
          </w:p>
        </w:tc>
        <w:tc>
          <w:tcPr>
            <w:tcW w:w="154" w:type="pct"/>
            <w:vAlign w:val="center"/>
            <w:hideMark/>
          </w:tcPr>
          <w:p w14:paraId="50842F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" w:type="pct"/>
            <w:vAlign w:val="center"/>
            <w:hideMark/>
          </w:tcPr>
          <w:p w14:paraId="7A2263E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" w:type="pct"/>
            <w:vAlign w:val="center"/>
            <w:hideMark/>
          </w:tcPr>
          <w:p w14:paraId="145EBF8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" w:type="pct"/>
            <w:vAlign w:val="center"/>
            <w:hideMark/>
          </w:tcPr>
          <w:p w14:paraId="11E568A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" w:type="pct"/>
            <w:vAlign w:val="center"/>
            <w:hideMark/>
          </w:tcPr>
          <w:p w14:paraId="28EC3EE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" w:type="pct"/>
            <w:vAlign w:val="center"/>
            <w:hideMark/>
          </w:tcPr>
          <w:p w14:paraId="0A372B1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" w:type="pct"/>
            <w:vAlign w:val="center"/>
            <w:hideMark/>
          </w:tcPr>
          <w:p w14:paraId="017E050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A92A87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754CFE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BB939A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2BE54F8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1728A6B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0D8F941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583019C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pct"/>
            <w:vAlign w:val="center"/>
            <w:hideMark/>
          </w:tcPr>
          <w:p w14:paraId="4858E93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pct"/>
            <w:gridSpan w:val="2"/>
            <w:vAlign w:val="center"/>
            <w:hideMark/>
          </w:tcPr>
          <w:p w14:paraId="15F6BBB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pct"/>
            <w:gridSpan w:val="3"/>
            <w:noWrap/>
            <w:vAlign w:val="center"/>
            <w:hideMark/>
          </w:tcPr>
          <w:p w14:paraId="358D31A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1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6" w:type="pct"/>
            <w:vMerge/>
            <w:vAlign w:val="center"/>
            <w:hideMark/>
          </w:tcPr>
          <w:p w14:paraId="04B7A8E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341D4D" w:rsidRPr="00341D4D" w14:paraId="786DC6CF" w14:textId="77777777" w:rsidTr="00B9498B">
        <w:trPr>
          <w:trHeight w:val="1515"/>
        </w:trPr>
        <w:tc>
          <w:tcPr>
            <w:tcW w:w="606" w:type="pct"/>
            <w:gridSpan w:val="3"/>
            <w:hideMark/>
          </w:tcPr>
          <w:p w14:paraId="1A27811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Deskripsi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>Singkat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MK</w:t>
            </w:r>
          </w:p>
        </w:tc>
        <w:tc>
          <w:tcPr>
            <w:tcW w:w="4394" w:type="pct"/>
            <w:gridSpan w:val="21"/>
            <w:hideMark/>
          </w:tcPr>
          <w:p w14:paraId="7891476B" w14:textId="77777777" w:rsidR="00341D4D" w:rsidRPr="00341D4D" w:rsidRDefault="00341D4D" w:rsidP="00341D4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Mata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kuliah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ini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mencakup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materi-materi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pemahaman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dasar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tentang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masalah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dan agenda setting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peramalan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alternatif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rekomendasi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implementasi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evaluasi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, dan paper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isu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</w:p>
        </w:tc>
      </w:tr>
    </w:tbl>
    <w:p w14:paraId="2670E59E" w14:textId="77777777" w:rsidR="00B9498B" w:rsidRDefault="00B9498B"/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50"/>
        <w:gridCol w:w="12530"/>
      </w:tblGrid>
      <w:tr w:rsidR="00341D4D" w:rsidRPr="00341D4D" w14:paraId="427677BC" w14:textId="77777777" w:rsidTr="00341D4D">
        <w:trPr>
          <w:trHeight w:val="37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54259FF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Bahan Kajian/Materi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341D4D" w:rsidRPr="00341D4D" w14:paraId="0C9DA3DE" w14:textId="77777777" w:rsidTr="00285E05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55DC393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341" w:type="pct"/>
            <w:vAlign w:val="center"/>
            <w:hideMark/>
          </w:tcPr>
          <w:p w14:paraId="7C8AFB1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BK3</w:t>
            </w:r>
          </w:p>
        </w:tc>
        <w:tc>
          <w:tcPr>
            <w:tcW w:w="4495" w:type="pct"/>
            <w:vAlign w:val="center"/>
            <w:hideMark/>
          </w:tcPr>
          <w:p w14:paraId="7ACFAFF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341D4D" w:rsidRPr="00341D4D" w14:paraId="7F0ADFFF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6A4441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36D58C1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BK4</w:t>
            </w:r>
          </w:p>
        </w:tc>
        <w:tc>
          <w:tcPr>
            <w:tcW w:w="4495" w:type="pct"/>
            <w:vAlign w:val="center"/>
            <w:hideMark/>
          </w:tcPr>
          <w:p w14:paraId="396BFE6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341D4D" w:rsidRPr="00341D4D" w14:paraId="175E7765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F40372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3D90438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BK5</w:t>
            </w:r>
          </w:p>
        </w:tc>
        <w:tc>
          <w:tcPr>
            <w:tcW w:w="4495" w:type="pct"/>
            <w:vAlign w:val="center"/>
            <w:hideMark/>
          </w:tcPr>
          <w:p w14:paraId="627AAD7D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Komunikasi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Advokasi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436EB41E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E170F2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75ACD3C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BK8</w:t>
            </w:r>
          </w:p>
        </w:tc>
        <w:tc>
          <w:tcPr>
            <w:tcW w:w="4495" w:type="pct"/>
            <w:vAlign w:val="center"/>
            <w:hideMark/>
          </w:tcPr>
          <w:p w14:paraId="02459B9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SDM Sektor Publik</w:t>
            </w:r>
          </w:p>
        </w:tc>
      </w:tr>
      <w:tr w:rsidR="00341D4D" w:rsidRPr="00341D4D" w14:paraId="49AC4941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900A89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79504A1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BK11</w:t>
            </w:r>
          </w:p>
        </w:tc>
        <w:tc>
          <w:tcPr>
            <w:tcW w:w="4495" w:type="pct"/>
            <w:vAlign w:val="center"/>
            <w:hideMark/>
          </w:tcPr>
          <w:p w14:paraId="183879F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Pengambilan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 xml:space="preserve"> Keputusan</w:t>
            </w:r>
          </w:p>
        </w:tc>
      </w:tr>
      <w:tr w:rsidR="00341D4D" w:rsidRPr="00341D4D" w14:paraId="35CB6E41" w14:textId="77777777" w:rsidTr="00285E05">
        <w:trPr>
          <w:trHeight w:val="375"/>
        </w:trPr>
        <w:tc>
          <w:tcPr>
            <w:tcW w:w="164" w:type="pct"/>
            <w:vMerge w:val="restart"/>
            <w:textDirection w:val="btLr"/>
            <w:vAlign w:val="center"/>
            <w:hideMark/>
          </w:tcPr>
          <w:p w14:paraId="71832FD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341" w:type="pct"/>
            <w:vAlign w:val="center"/>
            <w:hideMark/>
          </w:tcPr>
          <w:p w14:paraId="50CFDE5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</w:t>
            </w:r>
          </w:p>
        </w:tc>
        <w:tc>
          <w:tcPr>
            <w:tcW w:w="4495" w:type="pct"/>
            <w:vAlign w:val="center"/>
            <w:hideMark/>
          </w:tcPr>
          <w:p w14:paraId="5190A9B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Barang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Studi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341D4D" w:rsidRPr="00341D4D" w14:paraId="26BB84EA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85183D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4A3C7D5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MP2</w:t>
            </w:r>
          </w:p>
        </w:tc>
        <w:tc>
          <w:tcPr>
            <w:tcW w:w="4495" w:type="pct"/>
            <w:vAlign w:val="center"/>
            <w:hideMark/>
          </w:tcPr>
          <w:p w14:paraId="0DA24EF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Kontroversi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Peran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Dasar Analis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097134C5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2E6C72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6A73A55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MP3</w:t>
            </w:r>
          </w:p>
        </w:tc>
        <w:tc>
          <w:tcPr>
            <w:tcW w:w="4495" w:type="pct"/>
            <w:vAlign w:val="center"/>
            <w:hideMark/>
          </w:tcPr>
          <w:p w14:paraId="719C04CE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51FA8EFD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7022CA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0976E5C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MP4</w:t>
            </w:r>
          </w:p>
        </w:tc>
        <w:tc>
          <w:tcPr>
            <w:tcW w:w="4495" w:type="pct"/>
            <w:vAlign w:val="center"/>
            <w:hideMark/>
          </w:tcPr>
          <w:p w14:paraId="315982C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694F7450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44C6E6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533548BA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MP5</w:t>
            </w:r>
          </w:p>
        </w:tc>
        <w:tc>
          <w:tcPr>
            <w:tcW w:w="4495" w:type="pct"/>
            <w:vAlign w:val="center"/>
            <w:hideMark/>
          </w:tcPr>
          <w:p w14:paraId="3E33EE7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341D4D" w:rsidRPr="00341D4D" w14:paraId="20CC38EF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82E064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08B42DF0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MP6</w:t>
            </w:r>
          </w:p>
        </w:tc>
        <w:tc>
          <w:tcPr>
            <w:tcW w:w="4495" w:type="pct"/>
            <w:vAlign w:val="center"/>
            <w:hideMark/>
          </w:tcPr>
          <w:p w14:paraId="0352F6A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Cost benefit analysis dan Analytical Hierarchy Process</w:t>
            </w:r>
          </w:p>
        </w:tc>
      </w:tr>
      <w:tr w:rsidR="00341D4D" w:rsidRPr="00341D4D" w14:paraId="1862B41B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55B0F660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00E8B1A5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MP7</w:t>
            </w:r>
          </w:p>
        </w:tc>
        <w:tc>
          <w:tcPr>
            <w:tcW w:w="4495" w:type="pct"/>
            <w:vAlign w:val="center"/>
            <w:hideMark/>
          </w:tcPr>
          <w:p w14:paraId="79F3C89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Cost benefit analysis dan Analytical Hierarchy Process</w:t>
            </w:r>
          </w:p>
        </w:tc>
      </w:tr>
      <w:tr w:rsidR="00341D4D" w:rsidRPr="00341D4D" w14:paraId="135412D0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DA422D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3CD939F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MP8</w:t>
            </w:r>
          </w:p>
        </w:tc>
        <w:tc>
          <w:tcPr>
            <w:tcW w:w="4495" w:type="pct"/>
            <w:vAlign w:val="center"/>
            <w:hideMark/>
          </w:tcPr>
          <w:p w14:paraId="7491AAD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Participatory impact analysis dan Studi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</w:p>
        </w:tc>
      </w:tr>
      <w:tr w:rsidR="00341D4D" w:rsidRPr="00341D4D" w14:paraId="09052C44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1B62703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2A7869E4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MP9</w:t>
            </w:r>
          </w:p>
        </w:tc>
        <w:tc>
          <w:tcPr>
            <w:tcW w:w="4495" w:type="pct"/>
            <w:vAlign w:val="center"/>
            <w:hideMark/>
          </w:tcPr>
          <w:p w14:paraId="68831D3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Participatory impact analysis dan Studi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</w:p>
        </w:tc>
      </w:tr>
      <w:tr w:rsidR="00341D4D" w:rsidRPr="00341D4D" w14:paraId="3C4DB9D8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67FD94A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11BFA24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MP10</w:t>
            </w:r>
          </w:p>
        </w:tc>
        <w:tc>
          <w:tcPr>
            <w:tcW w:w="4495" w:type="pct"/>
            <w:vAlign w:val="center"/>
            <w:hideMark/>
          </w:tcPr>
          <w:p w14:paraId="7FC1790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Agenda Setting,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Formulasi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Kebijakan,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73F99E53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0CDF704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72E43C3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MP11</w:t>
            </w:r>
          </w:p>
        </w:tc>
        <w:tc>
          <w:tcPr>
            <w:tcW w:w="4495" w:type="pct"/>
            <w:vAlign w:val="center"/>
            <w:hideMark/>
          </w:tcPr>
          <w:p w14:paraId="38E63E8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Agenda Setting,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Formulasi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Kebijakan,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</w:tr>
      <w:tr w:rsidR="00341D4D" w:rsidRPr="00341D4D" w14:paraId="6A936254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4A3BDBD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756D094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MP12</w:t>
            </w:r>
          </w:p>
        </w:tc>
        <w:tc>
          <w:tcPr>
            <w:tcW w:w="4495" w:type="pct"/>
            <w:vAlign w:val="center"/>
            <w:hideMark/>
          </w:tcPr>
          <w:p w14:paraId="730A3B5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</w:tr>
      <w:tr w:rsidR="00341D4D" w:rsidRPr="00341D4D" w14:paraId="20852633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333015B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56BF0312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MP13</w:t>
            </w:r>
          </w:p>
        </w:tc>
        <w:tc>
          <w:tcPr>
            <w:tcW w:w="4495" w:type="pct"/>
            <w:vAlign w:val="center"/>
            <w:hideMark/>
          </w:tcPr>
          <w:p w14:paraId="78E5BCB3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</w:tr>
      <w:tr w:rsidR="00341D4D" w:rsidRPr="00341D4D" w14:paraId="31E1C82F" w14:textId="77777777" w:rsidTr="00285E05">
        <w:trPr>
          <w:trHeight w:val="375"/>
        </w:trPr>
        <w:tc>
          <w:tcPr>
            <w:tcW w:w="164" w:type="pct"/>
            <w:vMerge/>
            <w:vAlign w:val="center"/>
            <w:hideMark/>
          </w:tcPr>
          <w:p w14:paraId="2F17401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14:paraId="2A021908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MP14</w:t>
            </w:r>
          </w:p>
        </w:tc>
        <w:tc>
          <w:tcPr>
            <w:tcW w:w="4495" w:type="pct"/>
            <w:vAlign w:val="center"/>
            <w:hideMark/>
          </w:tcPr>
          <w:p w14:paraId="2D87129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</w:tr>
    </w:tbl>
    <w:p w14:paraId="4C6DB58B" w14:textId="77777777" w:rsidR="00285E05" w:rsidRDefault="00285E05">
      <w:r>
        <w:br w:type="page"/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51"/>
        <w:gridCol w:w="12529"/>
      </w:tblGrid>
      <w:tr w:rsidR="00341D4D" w:rsidRPr="00341D4D" w14:paraId="7663D35E" w14:textId="77777777" w:rsidTr="00341D4D">
        <w:trPr>
          <w:trHeight w:val="709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3DC980ED" w14:textId="7A87F2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Pustaka</w:t>
            </w:r>
          </w:p>
        </w:tc>
      </w:tr>
      <w:tr w:rsidR="00341D4D" w:rsidRPr="00341D4D" w14:paraId="73DABA5E" w14:textId="77777777" w:rsidTr="00341D4D">
        <w:trPr>
          <w:trHeight w:val="375"/>
        </w:trPr>
        <w:tc>
          <w:tcPr>
            <w:tcW w:w="163" w:type="pct"/>
            <w:vMerge w:val="restart"/>
            <w:textDirection w:val="btLr"/>
            <w:vAlign w:val="center"/>
            <w:hideMark/>
          </w:tcPr>
          <w:p w14:paraId="6EB0C417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Utama</w:t>
            </w:r>
          </w:p>
        </w:tc>
        <w:tc>
          <w:tcPr>
            <w:tcW w:w="342" w:type="pct"/>
            <w:vAlign w:val="center"/>
            <w:hideMark/>
          </w:tcPr>
          <w:p w14:paraId="0E5FABC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RU1</w:t>
            </w:r>
          </w:p>
        </w:tc>
        <w:tc>
          <w:tcPr>
            <w:tcW w:w="4495" w:type="pct"/>
            <w:vAlign w:val="center"/>
            <w:hideMark/>
          </w:tcPr>
          <w:p w14:paraId="074EC4A6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Bardach,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Eungene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(2004) Practical Guide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Policy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Analysis:Eightfold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Paths toward Problem Solving CQ Press, NY</w:t>
            </w:r>
          </w:p>
        </w:tc>
      </w:tr>
      <w:tr w:rsidR="00341D4D" w:rsidRPr="00341D4D" w14:paraId="2522B3D2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292C8C7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2D16068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RU2</w:t>
            </w:r>
          </w:p>
        </w:tc>
        <w:tc>
          <w:tcPr>
            <w:tcW w:w="4495" w:type="pct"/>
            <w:vAlign w:val="center"/>
            <w:hideMark/>
          </w:tcPr>
          <w:p w14:paraId="41062E1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Cochran, Charles L and Eloise F Malone, Public Policy: Perspective &amp;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Choice,c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McGraw Hill Press</w:t>
            </w:r>
          </w:p>
        </w:tc>
      </w:tr>
      <w:tr w:rsidR="00341D4D" w:rsidRPr="00341D4D" w14:paraId="01DB3B8E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F59511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6089867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RU3</w:t>
            </w:r>
          </w:p>
        </w:tc>
        <w:tc>
          <w:tcPr>
            <w:tcW w:w="4495" w:type="pct"/>
            <w:vAlign w:val="center"/>
            <w:hideMark/>
          </w:tcPr>
          <w:p w14:paraId="16F9A27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Hogwood,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BrianW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Lewis E, Gunn, (1989), Policy Analysis for The World Oxford University Press</w:t>
            </w:r>
          </w:p>
        </w:tc>
      </w:tr>
      <w:tr w:rsidR="00341D4D" w:rsidRPr="00341D4D" w14:paraId="1C2ADDA4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52885528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5337BD9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RU4</w:t>
            </w:r>
          </w:p>
        </w:tc>
        <w:tc>
          <w:tcPr>
            <w:tcW w:w="4495" w:type="pct"/>
            <w:vAlign w:val="center"/>
            <w:hideMark/>
          </w:tcPr>
          <w:p w14:paraId="1C7052F2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Hupe, Peter J dan Hill, Michael J., The Three Action Levels of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Governance :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Reframing the Policy Process Beyond the Stage Model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Pieters,B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341D4D" w:rsidRPr="00341D4D" w14:paraId="54689773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3859A3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277B292C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RU5</w:t>
            </w:r>
          </w:p>
        </w:tc>
        <w:tc>
          <w:tcPr>
            <w:tcW w:w="4495" w:type="pct"/>
            <w:vAlign w:val="center"/>
            <w:hideMark/>
          </w:tcPr>
          <w:p w14:paraId="3AE73EF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Guy dan Jon Pierre eds, (2006). Handbook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of  Public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Policy, Sage Publications</w:t>
            </w:r>
          </w:p>
        </w:tc>
      </w:tr>
      <w:tr w:rsidR="00341D4D" w:rsidRPr="00341D4D" w14:paraId="70AD2E18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4B86F64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13A4253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RU6</w:t>
            </w:r>
          </w:p>
        </w:tc>
        <w:tc>
          <w:tcPr>
            <w:tcW w:w="4495" w:type="pct"/>
            <w:vAlign w:val="center"/>
            <w:hideMark/>
          </w:tcPr>
          <w:p w14:paraId="1B358E9F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"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Millers  Gerald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J. 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dkk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2007). 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Handbook  of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  Policy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Analysis: 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Theory,  Politics,  and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Methods  (</w:t>
            </w:r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</w:t>
            </w:r>
          </w:p>
        </w:tc>
      </w:tr>
      <w:tr w:rsidR="00341D4D" w:rsidRPr="00341D4D" w14:paraId="04306C6B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3ECE41BC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09BC9C3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RU7</w:t>
            </w:r>
          </w:p>
        </w:tc>
        <w:tc>
          <w:tcPr>
            <w:tcW w:w="4495" w:type="pct"/>
            <w:vAlign w:val="center"/>
            <w:hideMark/>
          </w:tcPr>
          <w:p w14:paraId="23C2D34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Administration and Public Policy, CRG Press"</w:t>
            </w:r>
          </w:p>
        </w:tc>
      </w:tr>
      <w:tr w:rsidR="00341D4D" w:rsidRPr="00341D4D" w14:paraId="4D855874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50BBF0A1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550B2D53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RU8</w:t>
            </w:r>
          </w:p>
        </w:tc>
        <w:tc>
          <w:tcPr>
            <w:tcW w:w="4495" w:type="pct"/>
            <w:vAlign w:val="center"/>
            <w:hideMark/>
          </w:tcPr>
          <w:p w14:paraId="28D6A504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Nugroho, Riant, 2017, Public Policy, Jakarta: Elex Media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Komputindo</w:t>
            </w:r>
            <w:proofErr w:type="spellEnd"/>
          </w:p>
        </w:tc>
      </w:tr>
      <w:tr w:rsidR="00341D4D" w:rsidRPr="00341D4D" w14:paraId="353070A1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0F9F375B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6A1B500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RU9</w:t>
            </w:r>
          </w:p>
        </w:tc>
        <w:tc>
          <w:tcPr>
            <w:tcW w:w="4495" w:type="pct"/>
            <w:vAlign w:val="center"/>
            <w:hideMark/>
          </w:tcPr>
          <w:p w14:paraId="34DA490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Rahmawati, (2021).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Teori dan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Membangun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pemahaman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pencerahan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dan model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alternatif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tambang</w:t>
            </w:r>
            <w:proofErr w:type="spell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:rsidR="00341D4D" w:rsidRPr="00341D4D" w14:paraId="254B4B8A" w14:textId="77777777" w:rsidTr="00341D4D">
        <w:trPr>
          <w:trHeight w:val="375"/>
        </w:trPr>
        <w:tc>
          <w:tcPr>
            <w:tcW w:w="163" w:type="pct"/>
            <w:vMerge/>
            <w:vAlign w:val="center"/>
            <w:hideMark/>
          </w:tcPr>
          <w:p w14:paraId="1E5D9739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  <w:hideMark/>
          </w:tcPr>
          <w:p w14:paraId="077F2B2B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RU10</w:t>
            </w:r>
          </w:p>
        </w:tc>
        <w:tc>
          <w:tcPr>
            <w:tcW w:w="4495" w:type="pct"/>
            <w:vAlign w:val="center"/>
            <w:hideMark/>
          </w:tcPr>
          <w:p w14:paraId="34A7D2B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William N. Dunn. (2018). Public Policy Analysis: An Integrated Approach (6th edition). Routledge, New York.</w:t>
            </w:r>
          </w:p>
        </w:tc>
      </w:tr>
      <w:tr w:rsidR="00341D4D" w:rsidRPr="00341D4D" w14:paraId="1891D2E8" w14:textId="77777777" w:rsidTr="00285E05">
        <w:trPr>
          <w:trHeight w:val="948"/>
        </w:trPr>
        <w:tc>
          <w:tcPr>
            <w:tcW w:w="163" w:type="pct"/>
            <w:textDirection w:val="btLr"/>
            <w:vAlign w:val="center"/>
            <w:hideMark/>
          </w:tcPr>
          <w:p w14:paraId="549DA22E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Pendukung</w:t>
            </w:r>
            <w:proofErr w:type="spellEnd"/>
          </w:p>
        </w:tc>
        <w:tc>
          <w:tcPr>
            <w:tcW w:w="342" w:type="pct"/>
            <w:vAlign w:val="center"/>
            <w:hideMark/>
          </w:tcPr>
          <w:p w14:paraId="3E63AFA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RP1</w:t>
            </w:r>
          </w:p>
        </w:tc>
        <w:tc>
          <w:tcPr>
            <w:tcW w:w="4495" w:type="pct"/>
            <w:hideMark/>
          </w:tcPr>
          <w:p w14:paraId="11558311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341D4D" w:rsidRPr="00341D4D" w14:paraId="5B763AB9" w14:textId="77777777" w:rsidTr="00341D4D">
        <w:trPr>
          <w:trHeight w:val="675"/>
        </w:trPr>
        <w:tc>
          <w:tcPr>
            <w:tcW w:w="505" w:type="pct"/>
            <w:gridSpan w:val="2"/>
            <w:vAlign w:val="center"/>
            <w:hideMark/>
          </w:tcPr>
          <w:p w14:paraId="2D54DCCF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Dosen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495" w:type="pct"/>
            <w:vAlign w:val="center"/>
            <w:hideMark/>
          </w:tcPr>
          <w:p w14:paraId="2BA7B277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Dr. Rahmawati, </w:t>
            </w:r>
            <w:proofErr w:type="spellStart"/>
            <w:proofErr w:type="gramStart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., MPA.</w:t>
            </w:r>
          </w:p>
        </w:tc>
      </w:tr>
      <w:tr w:rsidR="00341D4D" w:rsidRPr="00341D4D" w14:paraId="48948BF3" w14:textId="77777777" w:rsidTr="00285E05">
        <w:trPr>
          <w:trHeight w:val="1445"/>
        </w:trPr>
        <w:tc>
          <w:tcPr>
            <w:tcW w:w="163" w:type="pct"/>
            <w:textDirection w:val="btLr"/>
            <w:vAlign w:val="center"/>
            <w:hideMark/>
          </w:tcPr>
          <w:p w14:paraId="61B7AD96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Matakuliah</w:t>
            </w:r>
            <w:proofErr w:type="spellEnd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D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342" w:type="pct"/>
            <w:vAlign w:val="center"/>
            <w:hideMark/>
          </w:tcPr>
          <w:p w14:paraId="5E8B4049" w14:textId="77777777" w:rsidR="00341D4D" w:rsidRPr="00341D4D" w:rsidRDefault="00341D4D" w:rsidP="00341D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495" w:type="pct"/>
            <w:vAlign w:val="center"/>
            <w:hideMark/>
          </w:tcPr>
          <w:p w14:paraId="1F2E26D5" w14:textId="77777777" w:rsidR="00341D4D" w:rsidRPr="00341D4D" w:rsidRDefault="00341D4D" w:rsidP="00341D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341D4D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5C9C990" w14:textId="77777777" w:rsidR="00294E34" w:rsidRDefault="00294E34">
      <w:pPr>
        <w:rPr>
          <w:rFonts w:ascii="Arial" w:hAnsi="Arial" w:cs="Arial"/>
          <w:sz w:val="20"/>
          <w:szCs w:val="20"/>
        </w:rPr>
      </w:pPr>
    </w:p>
    <w:p w14:paraId="29465C73" w14:textId="77777777" w:rsidR="00B9498B" w:rsidRDefault="00B949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23"/>
        <w:gridCol w:w="2885"/>
        <w:gridCol w:w="1236"/>
        <w:gridCol w:w="1236"/>
        <w:gridCol w:w="1236"/>
        <w:gridCol w:w="2511"/>
        <w:gridCol w:w="764"/>
      </w:tblGrid>
      <w:tr w:rsidR="00B9498B" w:rsidRPr="00B9498B" w14:paraId="7535DCC6" w14:textId="77777777" w:rsidTr="00285E05">
        <w:trPr>
          <w:trHeight w:val="450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B557807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Pekan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9" w:type="pct"/>
            <w:vMerge w:val="restart"/>
            <w:shd w:val="clear" w:color="000000" w:fill="A6A6A6"/>
            <w:vAlign w:val="center"/>
            <w:hideMark/>
          </w:tcPr>
          <w:p w14:paraId="68EA6C9F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Akhir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476" w:type="pct"/>
            <w:gridSpan w:val="2"/>
            <w:vMerge w:val="restart"/>
            <w:shd w:val="clear" w:color="000000" w:fill="A6A6A6"/>
            <w:vAlign w:val="center"/>
            <w:hideMark/>
          </w:tcPr>
          <w:p w14:paraId="045605ED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885" w:type="pct"/>
            <w:gridSpan w:val="2"/>
            <w:vMerge w:val="restart"/>
            <w:shd w:val="clear" w:color="000000" w:fill="A6A6A6"/>
            <w:vAlign w:val="center"/>
            <w:hideMark/>
          </w:tcPr>
          <w:p w14:paraId="732E19BB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  <w:proofErr w:type="spellStart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Bantuk</w:t>
            </w:r>
            <w:proofErr w:type="spellEnd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Pembelajaran; Metode </w:t>
            </w:r>
            <w:proofErr w:type="spellStart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Pembelajaran</w:t>
            </w:r>
            <w:proofErr w:type="spellEnd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Penugasan</w:t>
            </w:r>
            <w:proofErr w:type="spellEnd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;</w:t>
            </w:r>
            <w:proofErr w:type="gramEnd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[</w:t>
            </w:r>
            <w:proofErr w:type="spellStart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Estimasi</w:t>
            </w:r>
            <w:proofErr w:type="spellEnd"/>
            <w:r w:rsidRPr="00B9498B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Waktu]</w:t>
            </w:r>
          </w:p>
        </w:tc>
        <w:tc>
          <w:tcPr>
            <w:tcW w:w="900" w:type="pct"/>
            <w:vMerge w:val="restart"/>
            <w:shd w:val="clear" w:color="000000" w:fill="A6A6A6"/>
            <w:vAlign w:val="center"/>
            <w:hideMark/>
          </w:tcPr>
          <w:p w14:paraId="4A9E037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AF7885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B9498B" w:rsidRPr="00B9498B" w14:paraId="6AA21F3D" w14:textId="77777777" w:rsidTr="00285E05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2E63851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AF602F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vMerge/>
            <w:vAlign w:val="center"/>
            <w:hideMark/>
          </w:tcPr>
          <w:p w14:paraId="0ADBE93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vAlign w:val="center"/>
            <w:hideMark/>
          </w:tcPr>
          <w:p w14:paraId="318E9AA7" w14:textId="77777777" w:rsidR="00B9498B" w:rsidRPr="00B9498B" w:rsidRDefault="00B9498B" w:rsidP="00B949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46CFD0E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D8F399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498B" w:rsidRPr="00B9498B" w14:paraId="14A3882C" w14:textId="77777777" w:rsidTr="00285E05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689553E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3BFCE1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vMerge/>
            <w:vAlign w:val="center"/>
            <w:hideMark/>
          </w:tcPr>
          <w:p w14:paraId="3051D2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vAlign w:val="center"/>
            <w:hideMark/>
          </w:tcPr>
          <w:p w14:paraId="4DFE73B2" w14:textId="77777777" w:rsidR="00B9498B" w:rsidRPr="00B9498B" w:rsidRDefault="00B9498B" w:rsidP="00B949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35A960B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DEEFE6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498B" w:rsidRPr="00B9498B" w14:paraId="5268250D" w14:textId="77777777" w:rsidTr="00285E05">
        <w:trPr>
          <w:trHeight w:val="615"/>
        </w:trPr>
        <w:tc>
          <w:tcPr>
            <w:tcW w:w="164" w:type="pct"/>
            <w:vMerge/>
            <w:vAlign w:val="center"/>
            <w:hideMark/>
          </w:tcPr>
          <w:p w14:paraId="60ABBB0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shd w:val="clear" w:color="000000" w:fill="A6A6A6"/>
            <w:vAlign w:val="center"/>
            <w:hideMark/>
          </w:tcPr>
          <w:p w14:paraId="3732DA7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Sub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(Sub CPMK)</w:t>
            </w:r>
          </w:p>
        </w:tc>
        <w:tc>
          <w:tcPr>
            <w:tcW w:w="1034" w:type="pct"/>
            <w:shd w:val="clear" w:color="000000" w:fill="A6A6A6"/>
            <w:vAlign w:val="center"/>
            <w:hideMark/>
          </w:tcPr>
          <w:p w14:paraId="34F4597B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1D199163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Teknik dan </w:t>
            </w:r>
            <w:proofErr w:type="spell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78EB444D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74A826CB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900" w:type="pct"/>
            <w:shd w:val="clear" w:color="000000" w:fill="A6A6A6"/>
            <w:vAlign w:val="center"/>
            <w:hideMark/>
          </w:tcPr>
          <w:p w14:paraId="71E53E71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[ </w:t>
            </w:r>
            <w:proofErr w:type="gramStart"/>
            <w:r w:rsidRPr="00B9498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 ]</w:t>
            </w:r>
            <w:proofErr w:type="gramEnd"/>
          </w:p>
        </w:tc>
        <w:tc>
          <w:tcPr>
            <w:tcW w:w="276" w:type="pct"/>
            <w:vMerge/>
            <w:vAlign w:val="center"/>
            <w:hideMark/>
          </w:tcPr>
          <w:p w14:paraId="0299694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498B" w:rsidRPr="00B9498B" w14:paraId="21BBCE6C" w14:textId="77777777" w:rsidTr="00285E05">
        <w:trPr>
          <w:trHeight w:val="33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00624B48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9" w:type="pct"/>
            <w:shd w:val="clear" w:color="000000" w:fill="808080"/>
            <w:vAlign w:val="center"/>
            <w:hideMark/>
          </w:tcPr>
          <w:p w14:paraId="55EEAE52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34" w:type="pct"/>
            <w:shd w:val="clear" w:color="000000" w:fill="808080"/>
            <w:vAlign w:val="center"/>
            <w:hideMark/>
          </w:tcPr>
          <w:p w14:paraId="40A25D3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(3)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2FDF4F57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(4)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24F38B3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(5)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2E30387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(6)</w:t>
            </w:r>
          </w:p>
        </w:tc>
        <w:tc>
          <w:tcPr>
            <w:tcW w:w="900" w:type="pct"/>
            <w:shd w:val="clear" w:color="000000" w:fill="808080"/>
            <w:vAlign w:val="center"/>
            <w:hideMark/>
          </w:tcPr>
          <w:p w14:paraId="0AF3CAC9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(7)</w:t>
            </w:r>
          </w:p>
        </w:tc>
        <w:tc>
          <w:tcPr>
            <w:tcW w:w="276" w:type="pct"/>
            <w:shd w:val="clear" w:color="000000" w:fill="808080"/>
            <w:vAlign w:val="center"/>
            <w:hideMark/>
          </w:tcPr>
          <w:p w14:paraId="45B73D69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(8)</w:t>
            </w:r>
          </w:p>
        </w:tc>
      </w:tr>
      <w:tr w:rsidR="00B9498B" w:rsidRPr="00B9498B" w14:paraId="005D5122" w14:textId="77777777" w:rsidTr="00285E05">
        <w:trPr>
          <w:trHeight w:val="600"/>
        </w:trPr>
        <w:tc>
          <w:tcPr>
            <w:tcW w:w="164" w:type="pct"/>
            <w:vMerge w:val="restart"/>
            <w:hideMark/>
          </w:tcPr>
          <w:p w14:paraId="3CEAC094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vMerge w:val="restart"/>
            <w:hideMark/>
          </w:tcPr>
          <w:p w14:paraId="14EAC23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proses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persyaratan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penilaian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mahasiswa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permasalahan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sebagai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1034" w:type="pct"/>
            <w:vMerge w:val="restart"/>
            <w:hideMark/>
          </w:tcPr>
          <w:p w14:paraId="0D29604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permasalahan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sebagai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sub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  <w:p w14:paraId="075FEC7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5FEAB0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15F40EA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Kehadiran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sikap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disiplin</w:t>
            </w:r>
            <w:proofErr w:type="spellEnd"/>
          </w:p>
        </w:tc>
        <w:tc>
          <w:tcPr>
            <w:tcW w:w="443" w:type="pct"/>
            <w:hideMark/>
          </w:tcPr>
          <w:p w14:paraId="4EE3C23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129F6B4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8E2BFA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Barang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Kepentingan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Studi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276" w:type="pct"/>
            <w:vMerge w:val="restart"/>
            <w:hideMark/>
          </w:tcPr>
          <w:p w14:paraId="7DDF737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</w:tr>
      <w:tr w:rsidR="00B9498B" w:rsidRPr="00B9498B" w14:paraId="53F1FD84" w14:textId="77777777" w:rsidTr="00285E05">
        <w:trPr>
          <w:trHeight w:val="91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FE421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3B5EA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AB082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64001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6264DA0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20D570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4D04D2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62CD86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1772F0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53F52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7F1E8C1" w14:textId="77777777" w:rsidTr="00285E05">
        <w:trPr>
          <w:trHeight w:val="840"/>
        </w:trPr>
        <w:tc>
          <w:tcPr>
            <w:tcW w:w="164" w:type="pct"/>
            <w:vMerge/>
            <w:vAlign w:val="center"/>
            <w:hideMark/>
          </w:tcPr>
          <w:p w14:paraId="05978B1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1BFDEE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8D70CD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4D13CA6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lihat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penilaian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observasi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0B47A8E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Pilih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lokal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/regional (mis.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pelayanan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lingkungan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pertanian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kesehatan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makalah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2–3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berisi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deskripsi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bukti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awal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(data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referensi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pemetaan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stakeholder (matrix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kepentingan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pengaruh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  <w:vMerge/>
            <w:hideMark/>
          </w:tcPr>
          <w:p w14:paraId="5727929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42E86B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00EA85D8" w14:textId="77777777" w:rsidTr="00285E05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067AED4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4EDD3B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hideMark/>
          </w:tcPr>
          <w:p w14:paraId="22DF4D2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B9E88F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3BF9120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5D351CC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99D419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022A913B" w14:textId="77777777" w:rsidTr="00285E05">
        <w:trPr>
          <w:trHeight w:val="585"/>
        </w:trPr>
        <w:tc>
          <w:tcPr>
            <w:tcW w:w="164" w:type="pct"/>
            <w:vMerge w:val="restart"/>
            <w:hideMark/>
          </w:tcPr>
          <w:p w14:paraId="401D5B3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vMerge w:val="restart"/>
            <w:hideMark/>
          </w:tcPr>
          <w:p w14:paraId="41419CE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2: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membedakan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harus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D2D579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perbedaan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antara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1F86C1A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0FC0168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Luring</w:t>
            </w:r>
          </w:p>
        </w:tc>
        <w:tc>
          <w:tcPr>
            <w:tcW w:w="443" w:type="pct"/>
            <w:hideMark/>
          </w:tcPr>
          <w:p w14:paraId="572D4AB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7F97B96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terhadap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Kontroversi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Peran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Dasar Analis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7AB162D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B9498B" w:rsidRPr="00B9498B" w14:paraId="347146A1" w14:textId="77777777" w:rsidTr="00285E05">
        <w:trPr>
          <w:trHeight w:val="13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1228E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B8D12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3DD4A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152AE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741B6D8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B46BCA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3C0F57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C95AE0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542D7B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59E9F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6F140E41" w14:textId="77777777" w:rsidTr="00285E05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78AF542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93CF2F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242365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312A7EA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464942C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Tuliskan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membandingkan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kedua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pendekatan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uraikan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tiga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(3)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keahlian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dasar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harus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dimiliki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berdasarkan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dipilih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1). </w:t>
            </w:r>
          </w:p>
        </w:tc>
        <w:tc>
          <w:tcPr>
            <w:tcW w:w="900" w:type="pct"/>
            <w:vMerge/>
            <w:hideMark/>
          </w:tcPr>
          <w:p w14:paraId="0393A70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27BB67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0BE323C4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F73CCB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880B6E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CF4DD7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8DFC34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2B53D12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498C059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BF105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004E46CE" w14:textId="77777777" w:rsidTr="00285E05">
        <w:trPr>
          <w:trHeight w:val="795"/>
        </w:trPr>
        <w:tc>
          <w:tcPr>
            <w:tcW w:w="164" w:type="pct"/>
            <w:vMerge w:val="restart"/>
            <w:hideMark/>
          </w:tcPr>
          <w:p w14:paraId="23DFCC3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vMerge w:val="restart"/>
            <w:hideMark/>
          </w:tcPr>
          <w:p w14:paraId="5BAAA5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C9B6CC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analsisi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model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  <w:p w14:paraId="31A8C2E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3249924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4B7E55E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48B29F7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79D621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3BC7EFFB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</w:tr>
      <w:tr w:rsidR="00B9498B" w:rsidRPr="00B9498B" w14:paraId="7E4A88C1" w14:textId="77777777" w:rsidTr="00285E05">
        <w:trPr>
          <w:trHeight w:val="131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FEFF6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99504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A9F36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EAE1E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05E9129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97B031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5F33950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8E9F6E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2B2CED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B5174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7D62CDF8" w14:textId="77777777" w:rsidTr="00285E05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0C6D5A6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A314E9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0A20E9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5417899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2606E0B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3: Makalah: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Terapkan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(mis. Bardach Eightfold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Dunn Integrated Approach)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definisi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tujuan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calon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alternatif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evaluasi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00" w:type="pct"/>
            <w:vMerge/>
            <w:hideMark/>
          </w:tcPr>
          <w:p w14:paraId="70E7AB6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2A7E0A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1C8AF80F" w14:textId="77777777" w:rsidTr="00285E05">
        <w:trPr>
          <w:trHeight w:val="1005"/>
        </w:trPr>
        <w:tc>
          <w:tcPr>
            <w:tcW w:w="164" w:type="pct"/>
            <w:vMerge/>
            <w:vAlign w:val="center"/>
            <w:hideMark/>
          </w:tcPr>
          <w:p w14:paraId="528498B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3E4359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4E8E52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5AB05D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5D0B132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0CEB363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68B641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0F58679" w14:textId="77777777" w:rsidTr="00285E05">
        <w:trPr>
          <w:trHeight w:val="795"/>
        </w:trPr>
        <w:tc>
          <w:tcPr>
            <w:tcW w:w="164" w:type="pct"/>
            <w:vMerge w:val="restart"/>
            <w:hideMark/>
          </w:tcPr>
          <w:p w14:paraId="1A5B120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99" w:type="pct"/>
            <w:vMerge w:val="restart"/>
            <w:hideMark/>
          </w:tcPr>
          <w:p w14:paraId="32D00B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4: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7255659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analsisi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model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  <w:p w14:paraId="51265D7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47DD815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17B6D26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5BB261F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6564B1B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6303B9A3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B9498B" w:rsidRPr="00B9498B" w14:paraId="5B9D52C8" w14:textId="77777777" w:rsidTr="00285E05">
        <w:trPr>
          <w:trHeight w:val="139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3484C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D6C8A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DD240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BD286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56C46A1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48279AD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326B64A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D00FF8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A57EC5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12503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AC09CD5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D7DB0F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9FA428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0D61BB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20F3097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26BDD71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4: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diagram model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konseptual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(visual) +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penjelasan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asumsi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model,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variabel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utama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hubungan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kausal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bagaimana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model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memandu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pct"/>
            <w:vMerge/>
            <w:hideMark/>
          </w:tcPr>
          <w:p w14:paraId="5BF2740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F5A6AD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72063B4D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A4D672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667C145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1255C7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15A368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0CEA89F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CBBE06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E9C020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03A85B3" w14:textId="77777777" w:rsidTr="00285E05">
        <w:trPr>
          <w:trHeight w:val="615"/>
        </w:trPr>
        <w:tc>
          <w:tcPr>
            <w:tcW w:w="164" w:type="pct"/>
            <w:vMerge w:val="restart"/>
            <w:hideMark/>
          </w:tcPr>
          <w:p w14:paraId="741DEFE2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9" w:type="pct"/>
            <w:vMerge w:val="restart"/>
            <w:hideMark/>
          </w:tcPr>
          <w:p w14:paraId="3B88952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1CDFFB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</w:p>
          <w:p w14:paraId="56D7B21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2BD83FC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221385D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2026D0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121EBE2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8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276" w:type="pct"/>
            <w:vMerge w:val="restart"/>
            <w:hideMark/>
          </w:tcPr>
          <w:p w14:paraId="4070BE1F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B9498B" w:rsidRPr="00B9498B" w14:paraId="574C6E75" w14:textId="77777777" w:rsidTr="00285E05">
        <w:trPr>
          <w:trHeight w:val="13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28071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A48F6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1EA6B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EF29E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22265D5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34D7292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3D5345A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EA46BF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4CDC69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48074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6F9EC9A1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A3670C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05910F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90BBA5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41F7D76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5C1018D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5: Makalah: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Susun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dokumen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merinci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tiap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(problem definition → monitoring),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dipakai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tiap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tahap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sumber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data, dan timeline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aktivitas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/>
            <w:hideMark/>
          </w:tcPr>
          <w:p w14:paraId="709591F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50DDB3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A25839D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9AA15B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D1084A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DBE76E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EE358A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52CCBA0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308D98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58E2B7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1B31D77F" w14:textId="77777777" w:rsidTr="00285E05">
        <w:trPr>
          <w:trHeight w:val="540"/>
        </w:trPr>
        <w:tc>
          <w:tcPr>
            <w:tcW w:w="164" w:type="pct"/>
            <w:vMerge w:val="restart"/>
            <w:hideMark/>
          </w:tcPr>
          <w:p w14:paraId="1C36F7A7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99" w:type="pct"/>
            <w:vMerge w:val="restart"/>
            <w:hideMark/>
          </w:tcPr>
          <w:p w14:paraId="03C77E7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6: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174A4E1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  <w:p w14:paraId="18A2225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1F0D467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5B5526A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CB8FCA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FC19C0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Cost benefit analysis dan Analytical Hierarchy Process</w:t>
            </w:r>
          </w:p>
        </w:tc>
        <w:tc>
          <w:tcPr>
            <w:tcW w:w="276" w:type="pct"/>
            <w:vMerge w:val="restart"/>
            <w:hideMark/>
          </w:tcPr>
          <w:p w14:paraId="118AF6F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B9498B" w:rsidRPr="00B9498B" w14:paraId="464FADAB" w14:textId="77777777" w:rsidTr="00285E05">
        <w:trPr>
          <w:trHeight w:val="83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24F49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C7E2F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5B6B6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3465C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4831337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22907B0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BCBAB3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F74D66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052947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17ACD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3C7EBDF3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9C65DF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A10060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63C41C0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573F81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7D0118A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6: </w:t>
            </w:r>
            <w:proofErr w:type="gram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Makalah :</w:t>
            </w:r>
            <w:proofErr w:type="gram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CBA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pada salah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alternatif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gunakan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sekunder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asumsi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dijustifikasi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  <w:vMerge/>
            <w:hideMark/>
          </w:tcPr>
          <w:p w14:paraId="2E1C264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8F5104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E41DA40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549EFA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607C252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5AAEFB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9BAF41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743290B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52E7649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20B156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B5764BC" w14:textId="77777777" w:rsidTr="00285E05">
        <w:trPr>
          <w:trHeight w:val="480"/>
        </w:trPr>
        <w:tc>
          <w:tcPr>
            <w:tcW w:w="164" w:type="pct"/>
            <w:vMerge w:val="restart"/>
            <w:hideMark/>
          </w:tcPr>
          <w:p w14:paraId="4F5EB96B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9" w:type="pct"/>
            <w:vMerge w:val="restart"/>
            <w:hideMark/>
          </w:tcPr>
          <w:p w14:paraId="7FFC14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7: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4AAD85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</w:p>
          <w:p w14:paraId="293ABF8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4DD3494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3DB0214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28FAA3B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267C9B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Cost benefit analysis dan Analytical Hierarchy Process</w:t>
            </w:r>
          </w:p>
        </w:tc>
        <w:tc>
          <w:tcPr>
            <w:tcW w:w="276" w:type="pct"/>
            <w:vMerge w:val="restart"/>
            <w:hideMark/>
          </w:tcPr>
          <w:p w14:paraId="52B3808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B9498B" w:rsidRPr="00B9498B" w14:paraId="4F4C0A39" w14:textId="77777777" w:rsidTr="00285E05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C04D0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57B90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61C68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0B62A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37D52AB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07D56EB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20595C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B500D0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91154B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EB8B4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7A95C1A1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331133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CBAC4A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417F4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4604AEC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3CB0E81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7: Dalam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kelompok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makalah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tetapkan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alternatif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(3–5).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Lakukan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AHP: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matriks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perbandingan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bobot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skor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alternatif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konsistensi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rasio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Serahkan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laporan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+ file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perhitungan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(Excel).</w:t>
            </w:r>
          </w:p>
        </w:tc>
        <w:tc>
          <w:tcPr>
            <w:tcW w:w="900" w:type="pct"/>
            <w:vMerge/>
            <w:hideMark/>
          </w:tcPr>
          <w:p w14:paraId="69C4D39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EF5E66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14792D00" w14:textId="77777777" w:rsidTr="00285E05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E323C1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83923D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320B9E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987F79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6031D8D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3593F9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1E8A11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5C044605" w14:textId="77777777" w:rsidTr="00285E05">
        <w:trPr>
          <w:trHeight w:val="480"/>
        </w:trPr>
        <w:tc>
          <w:tcPr>
            <w:tcW w:w="164" w:type="pct"/>
            <w:hideMark/>
          </w:tcPr>
          <w:p w14:paraId="07C02894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0" w:type="pct"/>
            <w:gridSpan w:val="6"/>
            <w:hideMark/>
          </w:tcPr>
          <w:p w14:paraId="71E1657E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TENGAH SEMESTER: IK1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IK14</w:t>
            </w:r>
          </w:p>
        </w:tc>
        <w:tc>
          <w:tcPr>
            <w:tcW w:w="276" w:type="pct"/>
            <w:vAlign w:val="center"/>
            <w:hideMark/>
          </w:tcPr>
          <w:p w14:paraId="6EFF87A9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</w:tbl>
    <w:p w14:paraId="01E64327" w14:textId="77777777" w:rsidR="00285E05" w:rsidRDefault="00285E0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624"/>
        <w:gridCol w:w="2885"/>
        <w:gridCol w:w="1236"/>
        <w:gridCol w:w="1236"/>
        <w:gridCol w:w="1236"/>
        <w:gridCol w:w="2511"/>
        <w:gridCol w:w="770"/>
      </w:tblGrid>
      <w:tr w:rsidR="00B9498B" w:rsidRPr="00B9498B" w14:paraId="72C99772" w14:textId="77777777" w:rsidTr="00B9498B">
        <w:trPr>
          <w:trHeight w:val="495"/>
        </w:trPr>
        <w:tc>
          <w:tcPr>
            <w:tcW w:w="162" w:type="pct"/>
            <w:vMerge w:val="restart"/>
            <w:hideMark/>
          </w:tcPr>
          <w:p w14:paraId="2AFF0FC0" w14:textId="6B0A36D4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99" w:type="pct"/>
            <w:vMerge w:val="restart"/>
            <w:hideMark/>
          </w:tcPr>
          <w:p w14:paraId="160BFBB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8: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64C543F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7ECD77C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2B7902B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5C69A58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5BFF383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Participatory impact analysis dan Studi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691C03C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B9498B" w:rsidRPr="00B9498B" w14:paraId="1348465C" w14:textId="77777777" w:rsidTr="008A651B">
        <w:trPr>
          <w:trHeight w:val="670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C3EC6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51B66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CED4E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CB3D3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32F8853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031BF3E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26821E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FEA98D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5F5E70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AD454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35D54766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56BFF17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CA03FD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ABE2FD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D3E13E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518FA6F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8: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Rancang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kajian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(FGD, survey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peta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sosial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instrumen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sampling stakeholder,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rencana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</w:p>
        </w:tc>
        <w:tc>
          <w:tcPr>
            <w:tcW w:w="900" w:type="pct"/>
            <w:vMerge/>
            <w:hideMark/>
          </w:tcPr>
          <w:p w14:paraId="0F0453C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40EC62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9246E2F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5220DD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1DDB82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1EFD09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8232CA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68756BD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BB7217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B8CF1C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DA6AB06" w14:textId="77777777" w:rsidTr="00B9498B">
        <w:trPr>
          <w:trHeight w:val="585"/>
        </w:trPr>
        <w:tc>
          <w:tcPr>
            <w:tcW w:w="162" w:type="pct"/>
            <w:vMerge w:val="restart"/>
            <w:hideMark/>
          </w:tcPr>
          <w:p w14:paraId="75A3C37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9" w:type="pct"/>
            <w:vMerge w:val="restart"/>
            <w:hideMark/>
          </w:tcPr>
          <w:p w14:paraId="268E5D2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9: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E98B8E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03FA229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2E0D452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4E21FA2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885702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Participatory impact analysis dan Studi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022B2E9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</w:tr>
      <w:tr w:rsidR="00B9498B" w:rsidRPr="00B9498B" w14:paraId="13ACDEA5" w14:textId="77777777" w:rsidTr="006B02C0">
        <w:trPr>
          <w:trHeight w:val="670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FBD50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295CB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D5CDA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3ED02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3FC4AF1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777E5C2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5A2FB1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888A6E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D77F98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ACBBC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3C43CCA7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69E6248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D13240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25B19F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1BFFA2E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391A062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9: Makalah: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Berdasarkan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3–5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transkrip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wawancara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bisa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fiktif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sekunder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diringkas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lakukan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coding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terbuka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tematik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temuan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Sertakan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kutipan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anonimisasi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0" w:type="pct"/>
            <w:vMerge/>
            <w:hideMark/>
          </w:tcPr>
          <w:p w14:paraId="366C19B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C2400E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351BCE5F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100EECA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798745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EB3182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7B14F2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4836689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6A57C93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4CE303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5881D53D" w14:textId="77777777" w:rsidTr="00B9498B">
        <w:trPr>
          <w:trHeight w:val="555"/>
        </w:trPr>
        <w:tc>
          <w:tcPr>
            <w:tcW w:w="162" w:type="pct"/>
            <w:vMerge w:val="restart"/>
            <w:hideMark/>
          </w:tcPr>
          <w:p w14:paraId="06C8F50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9" w:type="pct"/>
            <w:vMerge w:val="restart"/>
            <w:hideMark/>
          </w:tcPr>
          <w:p w14:paraId="666D7B5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10: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setiap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11228CD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Reading dan Review Chapter dan Artikel,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Presentasi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individu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SGD</w:t>
            </w:r>
          </w:p>
        </w:tc>
        <w:tc>
          <w:tcPr>
            <w:tcW w:w="443" w:type="pct"/>
            <w:vMerge w:val="restart"/>
            <w:hideMark/>
          </w:tcPr>
          <w:p w14:paraId="758280E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2A9710F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Luring</w:t>
            </w:r>
          </w:p>
        </w:tc>
        <w:tc>
          <w:tcPr>
            <w:tcW w:w="443" w:type="pct"/>
            <w:hideMark/>
          </w:tcPr>
          <w:p w14:paraId="00732D8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5DA72ED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Agenda Setting,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Formulasi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Kebijakan,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71BC1BC2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</w:tr>
      <w:tr w:rsidR="00B9498B" w:rsidRPr="00B9498B" w14:paraId="448D06EB" w14:textId="77777777" w:rsidTr="00881752">
        <w:trPr>
          <w:trHeight w:val="670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DE776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986A8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3AFC3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EB38C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55EDFFE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2680654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6B9BBB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E6254E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D603FC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7C1DB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749484C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714F2E8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05B7C92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6ABCEB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3826AA4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3E60728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10: Tulis paper 3–4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menguraikan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mekanisme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agenda setting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aktornya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windows of opportunity, framing) dan proses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formulasi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dipilih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kaitkan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(mis. Kingdon, framing)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bukti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empiris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pct"/>
            <w:vMerge/>
            <w:hideMark/>
          </w:tcPr>
          <w:p w14:paraId="1516E9C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B145D3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4B6FF5F" w14:textId="77777777" w:rsidTr="00B9498B">
        <w:trPr>
          <w:trHeight w:val="330"/>
        </w:trPr>
        <w:tc>
          <w:tcPr>
            <w:tcW w:w="162" w:type="pct"/>
            <w:vMerge/>
            <w:vAlign w:val="center"/>
            <w:hideMark/>
          </w:tcPr>
          <w:p w14:paraId="6167575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48F56C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A0057B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A3228B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11513D3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4A6320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6DB437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5557E6B0" w14:textId="77777777" w:rsidTr="00B9498B">
        <w:trPr>
          <w:trHeight w:val="510"/>
        </w:trPr>
        <w:tc>
          <w:tcPr>
            <w:tcW w:w="162" w:type="pct"/>
            <w:vMerge w:val="restart"/>
            <w:hideMark/>
          </w:tcPr>
          <w:p w14:paraId="3B6FB7A1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9" w:type="pct"/>
            <w:vMerge w:val="restart"/>
            <w:hideMark/>
          </w:tcPr>
          <w:p w14:paraId="47E4665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11: 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model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setiap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2037030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Reading dan Review Chapter dan Artikel,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Presentasi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individu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SGD</w:t>
            </w:r>
          </w:p>
          <w:p w14:paraId="797CF5B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49EA7DB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43E4A27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3539FE7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CE49E9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Agenda Setting,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Formulasi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Kebijakan,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39A3A0AD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B9498B" w:rsidRPr="00B9498B" w14:paraId="66B5B315" w14:textId="77777777" w:rsidTr="00285E05">
        <w:trPr>
          <w:trHeight w:val="959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39BF9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789D1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2E3D0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E8746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68C5C5F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06478F7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025669D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827591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892789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2A100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6E4FA8F3" w14:textId="77777777" w:rsidTr="00B9498B">
        <w:trPr>
          <w:trHeight w:val="825"/>
        </w:trPr>
        <w:tc>
          <w:tcPr>
            <w:tcW w:w="162" w:type="pct"/>
            <w:vMerge/>
            <w:vAlign w:val="center"/>
            <w:hideMark/>
          </w:tcPr>
          <w:p w14:paraId="63A424F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B2AE6A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7DE929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20AA9E7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4C8E45D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11: Makalah: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dokumen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tabel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M\&amp;E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tujuan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indikator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(input, output, outcome),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frekuensi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pengukuran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sumber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penanggung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alat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ukur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perkiraan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biaya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pct"/>
            <w:vMerge/>
            <w:hideMark/>
          </w:tcPr>
          <w:p w14:paraId="091A710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66EA8D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657B49FD" w14:textId="77777777" w:rsidTr="00B9498B">
        <w:trPr>
          <w:trHeight w:val="540"/>
        </w:trPr>
        <w:tc>
          <w:tcPr>
            <w:tcW w:w="162" w:type="pct"/>
            <w:vMerge/>
            <w:vAlign w:val="center"/>
            <w:hideMark/>
          </w:tcPr>
          <w:p w14:paraId="01116D9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4A6D2E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EF61B4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282121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72FD6FB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FB3E4D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35F2E2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94E6348" w14:textId="77777777" w:rsidTr="00B9498B">
        <w:trPr>
          <w:trHeight w:val="810"/>
        </w:trPr>
        <w:tc>
          <w:tcPr>
            <w:tcW w:w="162" w:type="pct"/>
            <w:vMerge w:val="restart"/>
            <w:hideMark/>
          </w:tcPr>
          <w:p w14:paraId="45D2605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99" w:type="pct"/>
            <w:vMerge w:val="restart"/>
            <w:hideMark/>
          </w:tcPr>
          <w:p w14:paraId="32C736A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1F89B72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  <w:p w14:paraId="0145573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5C2FF4A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36CAA24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16C09F1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76A4F82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  <w:tc>
          <w:tcPr>
            <w:tcW w:w="276" w:type="pct"/>
            <w:vMerge w:val="restart"/>
            <w:hideMark/>
          </w:tcPr>
          <w:p w14:paraId="31D090C3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B9498B" w:rsidRPr="00B9498B" w14:paraId="35F46B31" w14:textId="77777777" w:rsidTr="00671633">
        <w:trPr>
          <w:trHeight w:val="910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437DD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3FCC9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999A9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CD9BB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2EDB2F6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29B6EC5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995C8F4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24B227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7750ED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C5F92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0DD21B9E" w14:textId="77777777" w:rsidTr="00B9498B">
        <w:trPr>
          <w:trHeight w:val="1605"/>
        </w:trPr>
        <w:tc>
          <w:tcPr>
            <w:tcW w:w="162" w:type="pct"/>
            <w:vMerge/>
            <w:vAlign w:val="center"/>
            <w:hideMark/>
          </w:tcPr>
          <w:p w14:paraId="7CC113B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61E0FF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A56A73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095A66F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6C2DC89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12: Makalah: Tulis policy memo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ditujukan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kepada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pejabat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pembuat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keputusan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opsi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rekomendasi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langkah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implementasi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awal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estimasi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dampak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Gunakan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bahasa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bullet.</w:t>
            </w:r>
          </w:p>
        </w:tc>
        <w:tc>
          <w:tcPr>
            <w:tcW w:w="900" w:type="pct"/>
            <w:vMerge/>
            <w:hideMark/>
          </w:tcPr>
          <w:p w14:paraId="3375D43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A5A85F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818FAC3" w14:textId="77777777" w:rsidTr="00B9498B">
        <w:trPr>
          <w:trHeight w:val="540"/>
        </w:trPr>
        <w:tc>
          <w:tcPr>
            <w:tcW w:w="162" w:type="pct"/>
            <w:vMerge/>
            <w:vAlign w:val="center"/>
            <w:hideMark/>
          </w:tcPr>
          <w:p w14:paraId="507A296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994412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794F12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37F4399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2F530AB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FCEB7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85B780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4806C99" w14:textId="77777777" w:rsidTr="00B9498B">
        <w:trPr>
          <w:trHeight w:val="330"/>
        </w:trPr>
        <w:tc>
          <w:tcPr>
            <w:tcW w:w="162" w:type="pct"/>
            <w:vMerge w:val="restart"/>
            <w:hideMark/>
          </w:tcPr>
          <w:p w14:paraId="0158F099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9" w:type="pct"/>
            <w:vMerge w:val="restart"/>
            <w:hideMark/>
          </w:tcPr>
          <w:p w14:paraId="4C12C4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13: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702541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7F617EB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5A4692A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074498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6836E4B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  <w:tc>
          <w:tcPr>
            <w:tcW w:w="276" w:type="pct"/>
            <w:vMerge w:val="restart"/>
            <w:hideMark/>
          </w:tcPr>
          <w:p w14:paraId="1CF029CD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B9498B" w:rsidRPr="00B9498B" w14:paraId="285D8278" w14:textId="77777777" w:rsidTr="00285E05">
        <w:trPr>
          <w:trHeight w:val="817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D2FC3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2324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35432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5E99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172CAA5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278EC2D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AD65F2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D0DC80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4BF21A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7B32E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1B823B1F" w14:textId="77777777" w:rsidTr="00B9498B">
        <w:trPr>
          <w:trHeight w:val="795"/>
        </w:trPr>
        <w:tc>
          <w:tcPr>
            <w:tcW w:w="162" w:type="pct"/>
            <w:vMerge/>
            <w:vAlign w:val="center"/>
            <w:hideMark/>
          </w:tcPr>
          <w:p w14:paraId="2662FD4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E9C464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C41847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48846FB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1BBDFA0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13: Makalah: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Kelompok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: (a) policy brief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bukti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opsi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rekomendasi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call to action) dan (b) policy poster (A3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slide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tunggal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menyajikan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kunci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&amp; data visual. </w:t>
            </w:r>
          </w:p>
        </w:tc>
        <w:tc>
          <w:tcPr>
            <w:tcW w:w="900" w:type="pct"/>
            <w:vMerge/>
            <w:hideMark/>
          </w:tcPr>
          <w:p w14:paraId="622D836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71714B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CCA21C4" w14:textId="77777777" w:rsidTr="00B9498B">
        <w:trPr>
          <w:trHeight w:val="780"/>
        </w:trPr>
        <w:tc>
          <w:tcPr>
            <w:tcW w:w="162" w:type="pct"/>
            <w:vMerge/>
            <w:vAlign w:val="center"/>
            <w:hideMark/>
          </w:tcPr>
          <w:p w14:paraId="6E22E62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BE47AD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748D8E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0B4FC9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1A4BFAD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6FE1C6F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39BD86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743E76B2" w14:textId="77777777" w:rsidTr="00B9498B">
        <w:trPr>
          <w:trHeight w:val="570"/>
        </w:trPr>
        <w:tc>
          <w:tcPr>
            <w:tcW w:w="162" w:type="pct"/>
            <w:vMerge w:val="restart"/>
            <w:hideMark/>
          </w:tcPr>
          <w:p w14:paraId="017E2C15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99" w:type="pct"/>
            <w:vMerge w:val="restart"/>
            <w:hideMark/>
          </w:tcPr>
          <w:p w14:paraId="606DC6D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14: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Memiliki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ketrampilan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untuk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6E73170D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naskah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5048424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7F24C2D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405297E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B9A59F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Dokumen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: Policy memo, Policy brief, Policy paper, Policy Poster</w:t>
            </w:r>
          </w:p>
        </w:tc>
        <w:tc>
          <w:tcPr>
            <w:tcW w:w="276" w:type="pct"/>
            <w:vMerge w:val="restart"/>
            <w:hideMark/>
          </w:tcPr>
          <w:p w14:paraId="2B79A1BC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B9498B" w:rsidRPr="00B9498B" w14:paraId="0401F7BE" w14:textId="77777777" w:rsidTr="00410C4E">
        <w:trPr>
          <w:trHeight w:val="1300"/>
        </w:trPr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5C7CDB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2EB08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3621A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B4CC0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bottom w:val="single" w:sz="4" w:space="0" w:color="auto"/>
            </w:tcBorders>
            <w:hideMark/>
          </w:tcPr>
          <w:p w14:paraId="7603ADEF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0634AD07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DDE9B1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F1A2D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E99F20B" w14:textId="77777777" w:rsidTr="00B9498B">
        <w:trPr>
          <w:trHeight w:val="1380"/>
        </w:trPr>
        <w:tc>
          <w:tcPr>
            <w:tcW w:w="162" w:type="pct"/>
            <w:vMerge/>
            <w:vAlign w:val="center"/>
            <w:hideMark/>
          </w:tcPr>
          <w:p w14:paraId="5A89E660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757CD1C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E649C03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4C20E3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6" w:type="pct"/>
            <w:gridSpan w:val="2"/>
            <w:hideMark/>
          </w:tcPr>
          <w:p w14:paraId="53A7EF7A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14: Makalah: Tulis policy paper final yang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memuat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latar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belakang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tinjauan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literatur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kerangka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analitis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metode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/qual/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partisipatif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hasil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(CBA/AHP/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temuan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rekomendasi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operasional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M\&amp;E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Lampirkan</w:t>
            </w:r>
            <w:proofErr w:type="spellEnd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data/Excel/</w:t>
            </w:r>
            <w:proofErr w:type="spellStart"/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Instrumen</w:t>
            </w:r>
            <w:proofErr w:type="spellEnd"/>
          </w:p>
        </w:tc>
        <w:tc>
          <w:tcPr>
            <w:tcW w:w="900" w:type="pct"/>
            <w:vMerge/>
            <w:hideMark/>
          </w:tcPr>
          <w:p w14:paraId="6C9B0EA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38D4B9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227DD55C" w14:textId="77777777" w:rsidTr="00B9498B">
        <w:trPr>
          <w:trHeight w:val="795"/>
        </w:trPr>
        <w:tc>
          <w:tcPr>
            <w:tcW w:w="162" w:type="pct"/>
            <w:vMerge/>
            <w:vAlign w:val="center"/>
            <w:hideMark/>
          </w:tcPr>
          <w:p w14:paraId="62E75215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F44D169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6E22848E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3D442C81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hideMark/>
          </w:tcPr>
          <w:p w14:paraId="7B6C2082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E281EA6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42CB738" w14:textId="77777777" w:rsidR="00B9498B" w:rsidRPr="00B9498B" w:rsidRDefault="00B9498B" w:rsidP="00B949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B9498B" w:rsidRPr="00B9498B" w14:paraId="4016B9D0" w14:textId="77777777" w:rsidTr="00B9498B">
        <w:trPr>
          <w:trHeight w:val="330"/>
        </w:trPr>
        <w:tc>
          <w:tcPr>
            <w:tcW w:w="162" w:type="pct"/>
            <w:hideMark/>
          </w:tcPr>
          <w:p w14:paraId="506EE11E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2" w:type="pct"/>
            <w:gridSpan w:val="6"/>
            <w:hideMark/>
          </w:tcPr>
          <w:p w14:paraId="48BF2CA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AKHIR SEMESTER: IK15 </w:t>
            </w:r>
            <w:proofErr w:type="spellStart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IK28</w:t>
            </w:r>
          </w:p>
        </w:tc>
        <w:tc>
          <w:tcPr>
            <w:tcW w:w="276" w:type="pct"/>
            <w:vAlign w:val="center"/>
            <w:hideMark/>
          </w:tcPr>
          <w:p w14:paraId="69215DC2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B9498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</w:t>
            </w:r>
          </w:p>
        </w:tc>
      </w:tr>
      <w:tr w:rsidR="00B9498B" w:rsidRPr="00B9498B" w14:paraId="57EBDA59" w14:textId="77777777" w:rsidTr="00B9498B">
        <w:trPr>
          <w:trHeight w:val="330"/>
        </w:trPr>
        <w:tc>
          <w:tcPr>
            <w:tcW w:w="4724" w:type="pct"/>
            <w:gridSpan w:val="7"/>
            <w:hideMark/>
          </w:tcPr>
          <w:p w14:paraId="42E32E57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98B">
              <w:rPr>
                <w:rFonts w:ascii="Calibri" w:eastAsia="Times New Roman" w:hAnsi="Calibri" w:cs="Calibri"/>
                <w:color w:val="000000"/>
              </w:rPr>
              <w:t>BOBOT TOTAL</w:t>
            </w:r>
          </w:p>
        </w:tc>
        <w:tc>
          <w:tcPr>
            <w:tcW w:w="276" w:type="pct"/>
            <w:vAlign w:val="center"/>
            <w:hideMark/>
          </w:tcPr>
          <w:p w14:paraId="207587EA" w14:textId="77777777" w:rsidR="00B9498B" w:rsidRPr="00B9498B" w:rsidRDefault="00B9498B" w:rsidP="00B94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98B">
              <w:rPr>
                <w:rFonts w:ascii="Calibri" w:eastAsia="Times New Roman" w:hAnsi="Calibri" w:cs="Calibri"/>
                <w:color w:val="000000"/>
              </w:rPr>
              <w:t>101,0</w:t>
            </w:r>
          </w:p>
        </w:tc>
      </w:tr>
    </w:tbl>
    <w:p w14:paraId="0E2466F8" w14:textId="77777777" w:rsidR="00B9498B" w:rsidRPr="00341D4D" w:rsidRDefault="00B9498B">
      <w:pPr>
        <w:rPr>
          <w:rFonts w:ascii="Arial" w:hAnsi="Arial" w:cs="Arial"/>
          <w:sz w:val="20"/>
          <w:szCs w:val="20"/>
        </w:rPr>
      </w:pPr>
    </w:p>
    <w:sectPr w:rsidR="00B9498B" w:rsidRPr="00341D4D" w:rsidSect="00341D4D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4D"/>
    <w:rsid w:val="000A4D87"/>
    <w:rsid w:val="00285E05"/>
    <w:rsid w:val="00294E34"/>
    <w:rsid w:val="00341D4D"/>
    <w:rsid w:val="00B9498B"/>
    <w:rsid w:val="00B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6893"/>
  <w15:chartTrackingRefBased/>
  <w15:docId w15:val="{21D84AA7-A58C-4CCE-AE46-076AFA9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1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RPS\RPS%20KPT%20-%20Administrasi%20Negar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#COVER!K6"/><Relationship Id="rId4" Type="http://schemas.openxmlformats.org/officeDocument/2006/relationships/hyperlink" Target="#RANGE!K6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Portabel Comp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Yayan Sabril</dc:creator>
  <cp:keywords/>
  <dc:description/>
  <cp:lastModifiedBy>Suryadi Pratama</cp:lastModifiedBy>
  <cp:revision>2</cp:revision>
  <dcterms:created xsi:type="dcterms:W3CDTF">2025-09-27T05:43:00Z</dcterms:created>
  <dcterms:modified xsi:type="dcterms:W3CDTF">2025-09-27T07:19:00Z</dcterms:modified>
</cp:coreProperties>
</file>